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FA6" w:rsidRPr="00342AC5" w:rsidRDefault="00213FA6" w:rsidP="00342AC5">
      <w:pPr>
        <w:autoSpaceDE w:val="0"/>
        <w:autoSpaceDN w:val="0"/>
        <w:adjustRightInd w:val="0"/>
        <w:spacing w:after="0" w:line="240" w:lineRule="auto"/>
        <w:jc w:val="center"/>
        <w:rPr>
          <w:rFonts w:cs="Calibri-Bold"/>
          <w:b/>
          <w:bCs/>
          <w:i/>
          <w:sz w:val="32"/>
          <w:szCs w:val="32"/>
          <w:u w:val="single"/>
        </w:rPr>
      </w:pPr>
      <w:r w:rsidRPr="00342AC5">
        <w:rPr>
          <w:rFonts w:cs="Calibri-Bold"/>
          <w:b/>
          <w:bCs/>
          <w:i/>
          <w:sz w:val="32"/>
          <w:szCs w:val="32"/>
          <w:u w:val="single"/>
        </w:rPr>
        <w:t xml:space="preserve">Schriftelijke vraag </w:t>
      </w:r>
      <w:r w:rsidR="00F52116" w:rsidRPr="00342AC5">
        <w:rPr>
          <w:rFonts w:cs="Calibri-Bold"/>
          <w:b/>
          <w:bCs/>
          <w:i/>
          <w:sz w:val="32"/>
          <w:szCs w:val="32"/>
          <w:u w:val="single"/>
        </w:rPr>
        <w:t xml:space="preserve">2016_SV_00477 </w:t>
      </w:r>
      <w:r w:rsidRPr="00342AC5">
        <w:rPr>
          <w:rFonts w:cs="Calibri-Bold"/>
          <w:b/>
          <w:bCs/>
          <w:i/>
          <w:sz w:val="32"/>
          <w:szCs w:val="32"/>
          <w:u w:val="single"/>
        </w:rPr>
        <w:t>van raadslid Stephanie D’hose</w:t>
      </w:r>
    </w:p>
    <w:p w:rsidR="00F52116" w:rsidRPr="00342AC5" w:rsidRDefault="00213FA6" w:rsidP="00342AC5">
      <w:pPr>
        <w:autoSpaceDE w:val="0"/>
        <w:autoSpaceDN w:val="0"/>
        <w:adjustRightInd w:val="0"/>
        <w:spacing w:after="0" w:line="240" w:lineRule="auto"/>
        <w:jc w:val="center"/>
        <w:rPr>
          <w:rFonts w:cs="Calibri-Bold"/>
          <w:b/>
          <w:bCs/>
          <w:i/>
          <w:sz w:val="32"/>
          <w:szCs w:val="32"/>
          <w:u w:val="single"/>
        </w:rPr>
      </w:pPr>
      <w:r w:rsidRPr="00342AC5">
        <w:rPr>
          <w:rFonts w:cs="Calibri-Bold"/>
          <w:b/>
          <w:bCs/>
          <w:i/>
          <w:sz w:val="32"/>
          <w:szCs w:val="32"/>
          <w:u w:val="single"/>
        </w:rPr>
        <w:t>I</w:t>
      </w:r>
      <w:r w:rsidR="00F52116" w:rsidRPr="00342AC5">
        <w:rPr>
          <w:rFonts w:cs="Calibri-Bold"/>
          <w:b/>
          <w:bCs/>
          <w:i/>
          <w:sz w:val="32"/>
          <w:szCs w:val="32"/>
          <w:u w:val="single"/>
        </w:rPr>
        <w:t>mpact terreurdreiging op Gents toerisme en culturele sector</w:t>
      </w:r>
    </w:p>
    <w:p w:rsidR="00F52116" w:rsidRPr="00F52116" w:rsidRDefault="00F52116" w:rsidP="00F52116">
      <w:pPr>
        <w:autoSpaceDE w:val="0"/>
        <w:autoSpaceDN w:val="0"/>
        <w:adjustRightInd w:val="0"/>
        <w:spacing w:after="0" w:line="240" w:lineRule="auto"/>
        <w:rPr>
          <w:rFonts w:cs="Calibri-Bold"/>
          <w:b/>
          <w:bCs/>
        </w:rPr>
      </w:pPr>
    </w:p>
    <w:p w:rsidR="00F52116" w:rsidRPr="00F52116" w:rsidRDefault="00F52116" w:rsidP="00F52116">
      <w:pPr>
        <w:autoSpaceDE w:val="0"/>
        <w:autoSpaceDN w:val="0"/>
        <w:adjustRightInd w:val="0"/>
        <w:spacing w:after="0" w:line="240" w:lineRule="auto"/>
        <w:rPr>
          <w:rFonts w:cs="Calibri-Bold"/>
          <w:b/>
          <w:bCs/>
        </w:rPr>
      </w:pPr>
    </w:p>
    <w:p w:rsidR="00F52116" w:rsidRPr="00F52116" w:rsidRDefault="00F52116" w:rsidP="00F521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Bold"/>
          <w:b/>
          <w:bCs/>
          <w:color w:val="000000"/>
        </w:rPr>
      </w:pPr>
      <w:r w:rsidRPr="00F52116">
        <w:rPr>
          <w:rFonts w:cs="Calibri-Bold"/>
          <w:b/>
          <w:bCs/>
          <w:color w:val="000000"/>
        </w:rPr>
        <w:t>Toelichting:</w:t>
      </w:r>
    </w:p>
    <w:p w:rsidR="00F52116" w:rsidRPr="00F52116" w:rsidRDefault="00F52116" w:rsidP="00F521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color w:val="000000"/>
        </w:rPr>
      </w:pPr>
      <w:r w:rsidRPr="00F52116">
        <w:rPr>
          <w:rFonts w:cs="Calibri"/>
          <w:color w:val="000000"/>
        </w:rPr>
        <w:t>De dodelijke aanslagen in Brussel hebben een grote impact gehad op het culturele leven van onze</w:t>
      </w:r>
    </w:p>
    <w:p w:rsidR="00F52116" w:rsidRPr="00F52116" w:rsidRDefault="00F52116" w:rsidP="00F521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color w:val="000000"/>
        </w:rPr>
      </w:pPr>
      <w:r w:rsidRPr="00F52116">
        <w:rPr>
          <w:rFonts w:cs="Calibri"/>
          <w:color w:val="000000"/>
        </w:rPr>
        <w:t>hoofdstad. Maar ook in andere steden zijn de gevolgen voelbaar geweest.</w:t>
      </w:r>
    </w:p>
    <w:p w:rsidR="00F52116" w:rsidRPr="00F52116" w:rsidRDefault="00F52116" w:rsidP="00F52116">
      <w:pPr>
        <w:autoSpaceDE w:val="0"/>
        <w:autoSpaceDN w:val="0"/>
        <w:adjustRightInd w:val="0"/>
        <w:spacing w:after="0" w:line="240" w:lineRule="auto"/>
        <w:rPr>
          <w:rFonts w:cs="Calibri"/>
          <w:color w:val="000000"/>
        </w:rPr>
      </w:pPr>
    </w:p>
    <w:p w:rsidR="00F52116" w:rsidRDefault="00F52116" w:rsidP="00F52116">
      <w:pPr>
        <w:autoSpaceDE w:val="0"/>
        <w:autoSpaceDN w:val="0"/>
        <w:adjustRightInd w:val="0"/>
        <w:spacing w:after="0" w:line="240" w:lineRule="auto"/>
        <w:rPr>
          <w:rFonts w:cs="Calibri-Bold"/>
          <w:b/>
          <w:bCs/>
          <w:i/>
          <w:color w:val="000000"/>
          <w:sz w:val="28"/>
          <w:szCs w:val="28"/>
          <w:u w:val="single"/>
        </w:rPr>
      </w:pPr>
      <w:r w:rsidRPr="00342AC5">
        <w:rPr>
          <w:rFonts w:cs="Calibri-Bold"/>
          <w:b/>
          <w:bCs/>
          <w:i/>
          <w:color w:val="000000"/>
          <w:sz w:val="28"/>
          <w:szCs w:val="28"/>
          <w:u w:val="single"/>
        </w:rPr>
        <w:t>Vraag:</w:t>
      </w:r>
    </w:p>
    <w:p w:rsidR="00213FA6" w:rsidRPr="00342AC5" w:rsidRDefault="00213FA6" w:rsidP="00F52116">
      <w:pPr>
        <w:autoSpaceDE w:val="0"/>
        <w:autoSpaceDN w:val="0"/>
        <w:adjustRightInd w:val="0"/>
        <w:spacing w:after="0" w:line="240" w:lineRule="auto"/>
        <w:rPr>
          <w:rFonts w:cs="Calibri-Bold"/>
          <w:b/>
          <w:bCs/>
          <w:i/>
          <w:color w:val="000000"/>
          <w:sz w:val="28"/>
          <w:szCs w:val="28"/>
          <w:u w:val="single"/>
        </w:rPr>
      </w:pPr>
    </w:p>
    <w:p w:rsidR="00F52116" w:rsidRPr="003002CC" w:rsidRDefault="00F52116" w:rsidP="003002CC">
      <w:pPr>
        <w:pStyle w:val="Lijstalinea"/>
        <w:numPr>
          <w:ilvl w:val="0"/>
          <w:numId w:val="1"/>
        </w:numPr>
        <w:autoSpaceDE w:val="0"/>
        <w:autoSpaceDN w:val="0"/>
        <w:adjustRightInd w:val="0"/>
        <w:spacing w:after="0" w:line="240" w:lineRule="auto"/>
        <w:rPr>
          <w:rFonts w:cs="Calibri"/>
          <w:color w:val="000000"/>
        </w:rPr>
      </w:pPr>
      <w:r w:rsidRPr="003002CC">
        <w:rPr>
          <w:rFonts w:cs="Calibri"/>
          <w:color w:val="000000"/>
        </w:rPr>
        <w:t>Zijn er al cijfers bekend over de bezoekersaantallen van de Gentse musea sinds april</w:t>
      </w:r>
    </w:p>
    <w:p w:rsidR="00F52116" w:rsidRPr="00F52116" w:rsidRDefault="00F52116" w:rsidP="00F52116">
      <w:pPr>
        <w:autoSpaceDE w:val="0"/>
        <w:autoSpaceDN w:val="0"/>
        <w:adjustRightInd w:val="0"/>
        <w:spacing w:after="0" w:line="240" w:lineRule="auto"/>
        <w:rPr>
          <w:rFonts w:cs="Calibri"/>
          <w:color w:val="000000"/>
        </w:rPr>
      </w:pPr>
      <w:r w:rsidRPr="00F52116">
        <w:rPr>
          <w:rFonts w:cs="Calibri"/>
          <w:color w:val="000000"/>
        </w:rPr>
        <w:t>2016? Hoe verhouden die zich ten opzichte van de bezoekersaantallen van dezelfde</w:t>
      </w:r>
    </w:p>
    <w:p w:rsidR="00F52116" w:rsidRDefault="00F52116" w:rsidP="00F52116">
      <w:pPr>
        <w:autoSpaceDE w:val="0"/>
        <w:autoSpaceDN w:val="0"/>
        <w:adjustRightInd w:val="0"/>
        <w:spacing w:after="0" w:line="240" w:lineRule="auto"/>
        <w:rPr>
          <w:rFonts w:cs="Calibri"/>
          <w:color w:val="000000"/>
        </w:rPr>
      </w:pPr>
      <w:r w:rsidRPr="00F52116">
        <w:rPr>
          <w:rFonts w:cs="Calibri"/>
          <w:color w:val="000000"/>
        </w:rPr>
        <w:t>periode vorig jaar?</w:t>
      </w:r>
    </w:p>
    <w:p w:rsidR="003966CC" w:rsidRDefault="003966CC" w:rsidP="00C801E5">
      <w:pPr>
        <w:autoSpaceDE w:val="0"/>
        <w:autoSpaceDN w:val="0"/>
        <w:adjustRightInd w:val="0"/>
        <w:spacing w:after="0" w:line="240" w:lineRule="auto"/>
        <w:jc w:val="center"/>
        <w:rPr>
          <w:rFonts w:cs="Calibri"/>
          <w:color w:val="000000"/>
          <w:u w:val="single"/>
        </w:rPr>
      </w:pPr>
    </w:p>
    <w:p w:rsidR="00F52116" w:rsidRPr="003002CC" w:rsidRDefault="00F52116" w:rsidP="003002CC">
      <w:pPr>
        <w:pStyle w:val="Lijstalinea"/>
        <w:numPr>
          <w:ilvl w:val="0"/>
          <w:numId w:val="1"/>
        </w:numPr>
        <w:autoSpaceDE w:val="0"/>
        <w:autoSpaceDN w:val="0"/>
        <w:adjustRightInd w:val="0"/>
        <w:spacing w:after="0" w:line="240" w:lineRule="auto"/>
        <w:rPr>
          <w:rFonts w:cs="Calibri"/>
          <w:color w:val="000000"/>
        </w:rPr>
      </w:pPr>
      <w:r w:rsidRPr="003002CC">
        <w:rPr>
          <w:rFonts w:cs="Calibri"/>
          <w:color w:val="000000"/>
        </w:rPr>
        <w:t>Daarnaast konden we recent in de pers lezen dat ook de Gentse toeristische sector de</w:t>
      </w:r>
    </w:p>
    <w:p w:rsidR="00F52116" w:rsidRPr="00F52116" w:rsidRDefault="00F52116" w:rsidP="00F52116">
      <w:pPr>
        <w:autoSpaceDE w:val="0"/>
        <w:autoSpaceDN w:val="0"/>
        <w:adjustRightInd w:val="0"/>
        <w:spacing w:after="0" w:line="240" w:lineRule="auto"/>
        <w:rPr>
          <w:rFonts w:cs="Calibri"/>
          <w:color w:val="000000"/>
        </w:rPr>
      </w:pPr>
      <w:r w:rsidRPr="00F52116">
        <w:rPr>
          <w:rFonts w:cs="Calibri"/>
          <w:color w:val="000000"/>
        </w:rPr>
        <w:t>naweeën voelt van de aanslagen. Zo zou het Lam Gods sinds maart vijf- tot zevenduizend</w:t>
      </w:r>
    </w:p>
    <w:p w:rsidR="00F52116" w:rsidRPr="00F52116" w:rsidRDefault="00F52116" w:rsidP="00F52116">
      <w:pPr>
        <w:autoSpaceDE w:val="0"/>
        <w:autoSpaceDN w:val="0"/>
        <w:adjustRightInd w:val="0"/>
        <w:spacing w:after="0" w:line="240" w:lineRule="auto"/>
        <w:rPr>
          <w:rFonts w:cs="Calibri"/>
          <w:color w:val="000000"/>
        </w:rPr>
      </w:pPr>
      <w:r w:rsidRPr="00F52116">
        <w:rPr>
          <w:rFonts w:cs="Calibri"/>
          <w:color w:val="000000"/>
        </w:rPr>
        <w:t>bezoekers minder per maand lokken.</w:t>
      </w:r>
    </w:p>
    <w:p w:rsidR="00F52116" w:rsidRPr="00F52116" w:rsidRDefault="00F52116" w:rsidP="00F52116">
      <w:pPr>
        <w:autoSpaceDE w:val="0"/>
        <w:autoSpaceDN w:val="0"/>
        <w:adjustRightInd w:val="0"/>
        <w:spacing w:after="0" w:line="240" w:lineRule="auto"/>
        <w:rPr>
          <w:rFonts w:cs="SymbolMT"/>
          <w:color w:val="000000"/>
        </w:rPr>
      </w:pPr>
    </w:p>
    <w:p w:rsidR="00F52116" w:rsidRPr="003002CC" w:rsidRDefault="00F52116" w:rsidP="003002CC">
      <w:pPr>
        <w:pStyle w:val="Lijstalinea"/>
        <w:numPr>
          <w:ilvl w:val="0"/>
          <w:numId w:val="1"/>
        </w:numPr>
        <w:autoSpaceDE w:val="0"/>
        <w:autoSpaceDN w:val="0"/>
        <w:adjustRightInd w:val="0"/>
        <w:spacing w:after="0" w:line="240" w:lineRule="auto"/>
        <w:rPr>
          <w:rFonts w:cs="Calibri"/>
          <w:color w:val="000000"/>
        </w:rPr>
      </w:pPr>
      <w:r w:rsidRPr="003002CC">
        <w:rPr>
          <w:rFonts w:cs="Calibri"/>
          <w:color w:val="000000"/>
        </w:rPr>
        <w:t>Wat is de evolutie van de bezoekersaantallen van de Gentse toeristische trekpleisters</w:t>
      </w:r>
    </w:p>
    <w:p w:rsidR="00F52116" w:rsidRPr="00F52116" w:rsidRDefault="00F52116" w:rsidP="00F52116">
      <w:pPr>
        <w:autoSpaceDE w:val="0"/>
        <w:autoSpaceDN w:val="0"/>
        <w:adjustRightInd w:val="0"/>
        <w:spacing w:after="0" w:line="240" w:lineRule="auto"/>
        <w:rPr>
          <w:rFonts w:cs="Calibri"/>
          <w:color w:val="000000"/>
        </w:rPr>
      </w:pPr>
      <w:r w:rsidRPr="00F52116">
        <w:rPr>
          <w:rFonts w:cs="Calibri"/>
          <w:color w:val="000000"/>
        </w:rPr>
        <w:t>sinds april 2016? Hoe verhouden die zich ten opzichte van de bezoekersaantallen van</w:t>
      </w:r>
    </w:p>
    <w:p w:rsidR="006F47F2" w:rsidRDefault="00F52116" w:rsidP="00F52116">
      <w:pPr>
        <w:rPr>
          <w:rFonts w:cs="Calibri"/>
          <w:color w:val="000000"/>
        </w:rPr>
      </w:pPr>
      <w:r w:rsidRPr="00F52116">
        <w:rPr>
          <w:rFonts w:cs="Calibri"/>
          <w:color w:val="000000"/>
        </w:rPr>
        <w:t>dezelfde periode vorig jaar?</w:t>
      </w:r>
    </w:p>
    <w:p w:rsidR="00213FA6" w:rsidRDefault="00213FA6" w:rsidP="00F52116">
      <w:pPr>
        <w:rPr>
          <w:rFonts w:cs="Calibri"/>
          <w:b/>
          <w:i/>
          <w:color w:val="000000"/>
          <w:sz w:val="28"/>
          <w:szCs w:val="28"/>
          <w:u w:val="single"/>
        </w:rPr>
      </w:pPr>
      <w:r w:rsidRPr="00342AC5">
        <w:rPr>
          <w:rFonts w:cs="Calibri"/>
          <w:b/>
          <w:i/>
          <w:color w:val="000000"/>
          <w:sz w:val="28"/>
          <w:szCs w:val="28"/>
          <w:u w:val="single"/>
        </w:rPr>
        <w:t>Antwoord:</w:t>
      </w:r>
    </w:p>
    <w:p w:rsidR="00213FA6" w:rsidRPr="00342AC5" w:rsidRDefault="00213FA6">
      <w:pPr>
        <w:rPr>
          <w:rFonts w:cs="Calibri"/>
          <w:color w:val="000000"/>
        </w:rPr>
      </w:pPr>
      <w:r>
        <w:rPr>
          <w:rFonts w:cs="Calibri"/>
          <w:color w:val="000000"/>
        </w:rPr>
        <w:t>De aanslagen in het Brusselse gingen door op 22 maart 2016</w:t>
      </w:r>
      <w:r w:rsidR="00D612B2">
        <w:rPr>
          <w:rFonts w:cs="Calibri"/>
          <w:color w:val="000000"/>
        </w:rPr>
        <w:t>, aan het eind van het eerste kwartaal</w:t>
      </w:r>
      <w:r>
        <w:rPr>
          <w:rFonts w:cs="Calibri"/>
          <w:color w:val="000000"/>
        </w:rPr>
        <w:t xml:space="preserve">. </w:t>
      </w:r>
      <w:r w:rsidR="00F31E47">
        <w:rPr>
          <w:rFonts w:cs="Calibri"/>
          <w:color w:val="000000"/>
        </w:rPr>
        <w:t>E</w:t>
      </w:r>
      <w:r>
        <w:rPr>
          <w:rFonts w:cs="Calibri"/>
          <w:color w:val="000000"/>
        </w:rPr>
        <w:t>e</w:t>
      </w:r>
      <w:r w:rsidR="00F31E47">
        <w:rPr>
          <w:rFonts w:cs="Calibri"/>
          <w:color w:val="000000"/>
        </w:rPr>
        <w:t>n</w:t>
      </w:r>
      <w:r>
        <w:rPr>
          <w:rFonts w:cs="Calibri"/>
          <w:color w:val="000000"/>
        </w:rPr>
        <w:t xml:space="preserve"> eventuele impact is daarom </w:t>
      </w:r>
      <w:r w:rsidR="00D612B2">
        <w:rPr>
          <w:rFonts w:cs="Calibri"/>
          <w:color w:val="000000"/>
        </w:rPr>
        <w:t>pas</w:t>
      </w:r>
      <w:r>
        <w:rPr>
          <w:rFonts w:cs="Calibri"/>
          <w:color w:val="000000"/>
        </w:rPr>
        <w:t xml:space="preserve"> in de volgende kwartalen te </w:t>
      </w:r>
      <w:r w:rsidR="00F31E47">
        <w:rPr>
          <w:rFonts w:cs="Calibri"/>
          <w:color w:val="000000"/>
        </w:rPr>
        <w:t>zi</w:t>
      </w:r>
      <w:r>
        <w:rPr>
          <w:rFonts w:cs="Calibri"/>
          <w:color w:val="000000"/>
        </w:rPr>
        <w:t>en. We vergelijken de cijfer</w:t>
      </w:r>
      <w:r w:rsidR="00D612B2">
        <w:rPr>
          <w:rFonts w:cs="Calibri"/>
          <w:color w:val="000000"/>
        </w:rPr>
        <w:t xml:space="preserve">s 2016 met deze van 2015, een </w:t>
      </w:r>
      <w:r>
        <w:rPr>
          <w:rFonts w:cs="Calibri"/>
          <w:color w:val="000000"/>
        </w:rPr>
        <w:t>topjaar voor het toerisme naar Gent (overnachtingen en bezoeken).</w:t>
      </w:r>
    </w:p>
    <w:p w:rsidR="00213FA6" w:rsidRPr="00342AC5" w:rsidRDefault="00213FA6" w:rsidP="00342AC5">
      <w:pPr>
        <w:pStyle w:val="Lijstalinea"/>
        <w:numPr>
          <w:ilvl w:val="0"/>
          <w:numId w:val="4"/>
        </w:numPr>
        <w:rPr>
          <w:rFonts w:cs="Calibri"/>
          <w:b/>
          <w:i/>
          <w:color w:val="000000"/>
          <w:u w:val="single"/>
        </w:rPr>
      </w:pPr>
      <w:r w:rsidRPr="00342AC5">
        <w:rPr>
          <w:rFonts w:cs="Calibri"/>
          <w:b/>
          <w:i/>
          <w:color w:val="000000"/>
          <w:u w:val="single"/>
        </w:rPr>
        <w:t>Evolutie bezoekersaantallen Gentse musea</w:t>
      </w:r>
    </w:p>
    <w:p w:rsidR="00213FA6" w:rsidRDefault="00213FA6" w:rsidP="00F52116">
      <w:pPr>
        <w:rPr>
          <w:rFonts w:cs="Calibri"/>
          <w:color w:val="000000"/>
        </w:rPr>
      </w:pPr>
      <w:r>
        <w:rPr>
          <w:rFonts w:cs="Calibri"/>
          <w:color w:val="000000"/>
        </w:rPr>
        <w:t xml:space="preserve">Wat betreft de </w:t>
      </w:r>
      <w:r w:rsidRPr="00A713AA">
        <w:rPr>
          <w:rFonts w:cs="Calibri"/>
          <w:b/>
          <w:color w:val="000000"/>
        </w:rPr>
        <w:t xml:space="preserve">musea </w:t>
      </w:r>
      <w:r w:rsidR="00D612B2">
        <w:rPr>
          <w:rFonts w:cs="Calibri"/>
          <w:color w:val="000000"/>
        </w:rPr>
        <w:t xml:space="preserve">(AGB Erfgoed en AGB Kunsten en Design) zijn cijfers t.e.m. oktober gekend </w:t>
      </w:r>
      <w:r>
        <w:rPr>
          <w:rFonts w:cs="Calibri"/>
          <w:color w:val="000000"/>
        </w:rPr>
        <w:t>:</w:t>
      </w:r>
    </w:p>
    <w:tbl>
      <w:tblPr>
        <w:tblStyle w:val="Tabelraster"/>
        <w:tblW w:w="0" w:type="auto"/>
        <w:tblLook w:val="04A0" w:firstRow="1" w:lastRow="0" w:firstColumn="1" w:lastColumn="0" w:noHBand="0" w:noVBand="1"/>
      </w:tblPr>
      <w:tblGrid>
        <w:gridCol w:w="2303"/>
        <w:gridCol w:w="2303"/>
        <w:gridCol w:w="2303"/>
        <w:gridCol w:w="2303"/>
      </w:tblGrid>
      <w:tr w:rsidR="00213FA6" w:rsidRPr="00D34C30" w:rsidTr="00213FA6">
        <w:tc>
          <w:tcPr>
            <w:tcW w:w="2303" w:type="dxa"/>
          </w:tcPr>
          <w:p w:rsidR="00213FA6" w:rsidRPr="00342AC5" w:rsidRDefault="00352DBA" w:rsidP="00F52116">
            <w:pPr>
              <w:rPr>
                <w:rFonts w:cs="Calibri"/>
                <w:b/>
                <w:color w:val="000000"/>
              </w:rPr>
            </w:pPr>
            <w:bookmarkStart w:id="0" w:name="_GoBack"/>
            <w:r w:rsidRPr="00342AC5">
              <w:rPr>
                <w:rFonts w:cs="Calibri"/>
                <w:b/>
                <w:color w:val="000000"/>
              </w:rPr>
              <w:t>Stedelijke musea</w:t>
            </w:r>
          </w:p>
        </w:tc>
        <w:tc>
          <w:tcPr>
            <w:tcW w:w="2303" w:type="dxa"/>
          </w:tcPr>
          <w:p w:rsidR="00213FA6" w:rsidRPr="00342AC5" w:rsidRDefault="00213FA6" w:rsidP="00F52116">
            <w:pPr>
              <w:rPr>
                <w:rFonts w:cs="Calibri"/>
                <w:b/>
                <w:color w:val="000000"/>
              </w:rPr>
            </w:pPr>
            <w:r w:rsidRPr="00342AC5">
              <w:rPr>
                <w:rFonts w:cs="Calibri"/>
                <w:b/>
                <w:color w:val="000000"/>
              </w:rPr>
              <w:t>2015</w:t>
            </w:r>
          </w:p>
        </w:tc>
        <w:tc>
          <w:tcPr>
            <w:tcW w:w="2303" w:type="dxa"/>
          </w:tcPr>
          <w:p w:rsidR="00213FA6" w:rsidRPr="00342AC5" w:rsidRDefault="00213FA6" w:rsidP="00F52116">
            <w:pPr>
              <w:rPr>
                <w:rFonts w:cs="Calibri"/>
                <w:b/>
                <w:color w:val="000000"/>
              </w:rPr>
            </w:pPr>
            <w:r w:rsidRPr="00342AC5">
              <w:rPr>
                <w:rFonts w:cs="Calibri"/>
                <w:b/>
                <w:color w:val="000000"/>
              </w:rPr>
              <w:t>2016</w:t>
            </w:r>
          </w:p>
        </w:tc>
        <w:tc>
          <w:tcPr>
            <w:tcW w:w="2303" w:type="dxa"/>
          </w:tcPr>
          <w:p w:rsidR="00213FA6" w:rsidRPr="00342AC5" w:rsidRDefault="00213FA6" w:rsidP="00F52116">
            <w:pPr>
              <w:rPr>
                <w:rFonts w:cs="Calibri"/>
                <w:b/>
                <w:color w:val="000000"/>
              </w:rPr>
            </w:pPr>
            <w:r w:rsidRPr="00342AC5">
              <w:rPr>
                <w:rFonts w:cs="Calibri"/>
                <w:b/>
                <w:color w:val="000000"/>
              </w:rPr>
              <w:t>Evolutie 2016/2015</w:t>
            </w:r>
          </w:p>
        </w:tc>
      </w:tr>
      <w:tr w:rsidR="00213FA6" w:rsidTr="00213FA6">
        <w:tc>
          <w:tcPr>
            <w:tcW w:w="2303" w:type="dxa"/>
          </w:tcPr>
          <w:p w:rsidR="00213FA6" w:rsidRDefault="00213FA6" w:rsidP="00F52116">
            <w:pPr>
              <w:rPr>
                <w:rFonts w:cs="Calibri"/>
                <w:color w:val="000000"/>
              </w:rPr>
            </w:pPr>
            <w:r>
              <w:rPr>
                <w:rFonts w:cs="Calibri"/>
                <w:color w:val="000000"/>
              </w:rPr>
              <w:t>Kwartaal 1</w:t>
            </w:r>
          </w:p>
        </w:tc>
        <w:tc>
          <w:tcPr>
            <w:tcW w:w="2303" w:type="dxa"/>
          </w:tcPr>
          <w:p w:rsidR="00213FA6" w:rsidRDefault="00213FA6" w:rsidP="00F52116">
            <w:pPr>
              <w:rPr>
                <w:rFonts w:cs="Calibri"/>
                <w:color w:val="000000"/>
              </w:rPr>
            </w:pPr>
            <w:r>
              <w:rPr>
                <w:rFonts w:cs="Calibri"/>
                <w:color w:val="000000"/>
              </w:rPr>
              <w:t>122.228</w:t>
            </w:r>
          </w:p>
        </w:tc>
        <w:tc>
          <w:tcPr>
            <w:tcW w:w="2303" w:type="dxa"/>
          </w:tcPr>
          <w:p w:rsidR="00213FA6" w:rsidRDefault="00213FA6" w:rsidP="00F52116">
            <w:pPr>
              <w:rPr>
                <w:rFonts w:cs="Calibri"/>
                <w:color w:val="000000"/>
              </w:rPr>
            </w:pPr>
            <w:r>
              <w:rPr>
                <w:rFonts w:cs="Calibri"/>
                <w:color w:val="000000"/>
              </w:rPr>
              <w:t>124.247</w:t>
            </w:r>
          </w:p>
        </w:tc>
        <w:tc>
          <w:tcPr>
            <w:tcW w:w="2303" w:type="dxa"/>
          </w:tcPr>
          <w:p w:rsidR="00213FA6" w:rsidRDefault="00D612B2" w:rsidP="00F52116">
            <w:pPr>
              <w:rPr>
                <w:rFonts w:cs="Calibri"/>
                <w:color w:val="000000"/>
              </w:rPr>
            </w:pPr>
            <w:r w:rsidRPr="00342AC5">
              <w:rPr>
                <w:rFonts w:cs="Calibri"/>
                <w:color w:val="00B050"/>
              </w:rPr>
              <w:t>+2%</w:t>
            </w:r>
          </w:p>
        </w:tc>
      </w:tr>
      <w:tr w:rsidR="00213FA6" w:rsidTr="00213FA6">
        <w:tc>
          <w:tcPr>
            <w:tcW w:w="2303" w:type="dxa"/>
          </w:tcPr>
          <w:p w:rsidR="00213FA6" w:rsidRDefault="00213FA6" w:rsidP="00F52116">
            <w:pPr>
              <w:rPr>
                <w:rFonts w:cs="Calibri"/>
                <w:color w:val="000000"/>
              </w:rPr>
            </w:pPr>
            <w:r>
              <w:rPr>
                <w:rFonts w:cs="Calibri"/>
                <w:color w:val="000000"/>
              </w:rPr>
              <w:t>Kwartaal 2</w:t>
            </w:r>
          </w:p>
        </w:tc>
        <w:tc>
          <w:tcPr>
            <w:tcW w:w="2303" w:type="dxa"/>
          </w:tcPr>
          <w:p w:rsidR="00213FA6" w:rsidRDefault="00213FA6" w:rsidP="00F52116">
            <w:pPr>
              <w:rPr>
                <w:rFonts w:cs="Calibri"/>
                <w:color w:val="000000"/>
              </w:rPr>
            </w:pPr>
            <w:r>
              <w:rPr>
                <w:rFonts w:cs="Calibri"/>
                <w:color w:val="000000"/>
              </w:rPr>
              <w:t>80.612</w:t>
            </w:r>
          </w:p>
        </w:tc>
        <w:tc>
          <w:tcPr>
            <w:tcW w:w="2303" w:type="dxa"/>
          </w:tcPr>
          <w:p w:rsidR="00213FA6" w:rsidRDefault="00213FA6" w:rsidP="00F52116">
            <w:pPr>
              <w:rPr>
                <w:rFonts w:cs="Calibri"/>
                <w:color w:val="000000"/>
              </w:rPr>
            </w:pPr>
            <w:r>
              <w:rPr>
                <w:rFonts w:cs="Calibri"/>
                <w:color w:val="000000"/>
              </w:rPr>
              <w:t>125.076</w:t>
            </w:r>
          </w:p>
        </w:tc>
        <w:tc>
          <w:tcPr>
            <w:tcW w:w="2303" w:type="dxa"/>
          </w:tcPr>
          <w:p w:rsidR="00213FA6" w:rsidRDefault="00D612B2" w:rsidP="00F52116">
            <w:pPr>
              <w:rPr>
                <w:rFonts w:cs="Calibri"/>
                <w:color w:val="000000"/>
              </w:rPr>
            </w:pPr>
            <w:r w:rsidRPr="00342AC5">
              <w:rPr>
                <w:rFonts w:cs="Calibri"/>
                <w:color w:val="00B050"/>
              </w:rPr>
              <w:t>+55%</w:t>
            </w:r>
          </w:p>
        </w:tc>
      </w:tr>
      <w:tr w:rsidR="00213FA6" w:rsidTr="00213FA6">
        <w:tc>
          <w:tcPr>
            <w:tcW w:w="2303" w:type="dxa"/>
          </w:tcPr>
          <w:p w:rsidR="00213FA6" w:rsidRDefault="00213FA6" w:rsidP="00F52116">
            <w:pPr>
              <w:rPr>
                <w:rFonts w:cs="Calibri"/>
                <w:color w:val="000000"/>
              </w:rPr>
            </w:pPr>
            <w:r>
              <w:rPr>
                <w:rFonts w:cs="Calibri"/>
                <w:color w:val="000000"/>
              </w:rPr>
              <w:t>Kwartaal 3</w:t>
            </w:r>
          </w:p>
        </w:tc>
        <w:tc>
          <w:tcPr>
            <w:tcW w:w="2303" w:type="dxa"/>
          </w:tcPr>
          <w:p w:rsidR="00213FA6" w:rsidRDefault="00213FA6" w:rsidP="00F52116">
            <w:pPr>
              <w:rPr>
                <w:rFonts w:cs="Calibri"/>
                <w:color w:val="000000"/>
              </w:rPr>
            </w:pPr>
            <w:r>
              <w:rPr>
                <w:rFonts w:cs="Calibri"/>
                <w:color w:val="000000"/>
              </w:rPr>
              <w:t>64.085</w:t>
            </w:r>
          </w:p>
        </w:tc>
        <w:tc>
          <w:tcPr>
            <w:tcW w:w="2303" w:type="dxa"/>
          </w:tcPr>
          <w:p w:rsidR="00213FA6" w:rsidRDefault="00213FA6" w:rsidP="00F52116">
            <w:pPr>
              <w:rPr>
                <w:rFonts w:cs="Calibri"/>
                <w:color w:val="000000"/>
              </w:rPr>
            </w:pPr>
            <w:r>
              <w:rPr>
                <w:rFonts w:cs="Calibri"/>
                <w:color w:val="000000"/>
              </w:rPr>
              <w:t>57.314</w:t>
            </w:r>
          </w:p>
        </w:tc>
        <w:tc>
          <w:tcPr>
            <w:tcW w:w="2303" w:type="dxa"/>
          </w:tcPr>
          <w:p w:rsidR="00213FA6" w:rsidRDefault="00D612B2" w:rsidP="00F52116">
            <w:pPr>
              <w:rPr>
                <w:rFonts w:cs="Calibri"/>
                <w:color w:val="000000"/>
              </w:rPr>
            </w:pPr>
            <w:r w:rsidRPr="00342AC5">
              <w:rPr>
                <w:rFonts w:cs="Calibri"/>
                <w:color w:val="FF0000"/>
              </w:rPr>
              <w:t>-11%</w:t>
            </w:r>
          </w:p>
        </w:tc>
      </w:tr>
      <w:tr w:rsidR="00213FA6" w:rsidTr="00213FA6">
        <w:tc>
          <w:tcPr>
            <w:tcW w:w="2303" w:type="dxa"/>
          </w:tcPr>
          <w:p w:rsidR="00213FA6" w:rsidRDefault="00213FA6" w:rsidP="00F52116">
            <w:pPr>
              <w:rPr>
                <w:rFonts w:cs="Calibri"/>
                <w:color w:val="000000"/>
              </w:rPr>
            </w:pPr>
            <w:r>
              <w:rPr>
                <w:rFonts w:cs="Calibri"/>
                <w:color w:val="000000"/>
              </w:rPr>
              <w:t xml:space="preserve">Oktober </w:t>
            </w:r>
          </w:p>
        </w:tc>
        <w:tc>
          <w:tcPr>
            <w:tcW w:w="2303" w:type="dxa"/>
          </w:tcPr>
          <w:p w:rsidR="00213FA6" w:rsidRDefault="00D612B2" w:rsidP="00F52116">
            <w:pPr>
              <w:rPr>
                <w:rFonts w:cs="Calibri"/>
                <w:color w:val="000000"/>
              </w:rPr>
            </w:pPr>
            <w:r>
              <w:rPr>
                <w:rFonts w:cs="Calibri"/>
                <w:color w:val="000000"/>
              </w:rPr>
              <w:t>40.329</w:t>
            </w:r>
          </w:p>
        </w:tc>
        <w:tc>
          <w:tcPr>
            <w:tcW w:w="2303" w:type="dxa"/>
          </w:tcPr>
          <w:p w:rsidR="00213FA6" w:rsidRDefault="00D612B2" w:rsidP="00F52116">
            <w:pPr>
              <w:rPr>
                <w:rFonts w:cs="Calibri"/>
                <w:color w:val="000000"/>
              </w:rPr>
            </w:pPr>
            <w:r>
              <w:rPr>
                <w:rFonts w:cs="Calibri"/>
                <w:color w:val="000000"/>
              </w:rPr>
              <w:t>32.411</w:t>
            </w:r>
          </w:p>
        </w:tc>
        <w:tc>
          <w:tcPr>
            <w:tcW w:w="2303" w:type="dxa"/>
          </w:tcPr>
          <w:p w:rsidR="00213FA6" w:rsidRDefault="00D612B2" w:rsidP="00F52116">
            <w:pPr>
              <w:rPr>
                <w:rFonts w:cs="Calibri"/>
                <w:color w:val="000000"/>
              </w:rPr>
            </w:pPr>
            <w:r w:rsidRPr="00342AC5">
              <w:rPr>
                <w:rFonts w:cs="Calibri"/>
                <w:color w:val="FF0000"/>
              </w:rPr>
              <w:t>-20%</w:t>
            </w:r>
          </w:p>
        </w:tc>
      </w:tr>
      <w:tr w:rsidR="00362A65" w:rsidRPr="00D34C30" w:rsidTr="00213FA6">
        <w:tc>
          <w:tcPr>
            <w:tcW w:w="2303" w:type="dxa"/>
          </w:tcPr>
          <w:p w:rsidR="00362A65" w:rsidRPr="00342AC5" w:rsidRDefault="00362A65">
            <w:pPr>
              <w:rPr>
                <w:rFonts w:cs="Calibri"/>
                <w:b/>
                <w:color w:val="000000"/>
              </w:rPr>
            </w:pPr>
            <w:r w:rsidRPr="00342AC5">
              <w:rPr>
                <w:rFonts w:cs="Calibri"/>
                <w:b/>
                <w:color w:val="000000"/>
              </w:rPr>
              <w:t>Totaal 10 maanden</w:t>
            </w:r>
          </w:p>
        </w:tc>
        <w:tc>
          <w:tcPr>
            <w:tcW w:w="2303" w:type="dxa"/>
          </w:tcPr>
          <w:p w:rsidR="00362A65" w:rsidRPr="00342AC5" w:rsidRDefault="00362A65" w:rsidP="00F52116">
            <w:pPr>
              <w:rPr>
                <w:rFonts w:cs="Calibri"/>
                <w:b/>
                <w:color w:val="000000"/>
              </w:rPr>
            </w:pPr>
            <w:r w:rsidRPr="00342AC5">
              <w:rPr>
                <w:rFonts w:cs="Calibri"/>
                <w:b/>
                <w:color w:val="000000"/>
              </w:rPr>
              <w:t>307.254</w:t>
            </w:r>
          </w:p>
        </w:tc>
        <w:tc>
          <w:tcPr>
            <w:tcW w:w="2303" w:type="dxa"/>
          </w:tcPr>
          <w:p w:rsidR="00362A65" w:rsidRPr="00342AC5" w:rsidRDefault="00362A65" w:rsidP="00F52116">
            <w:pPr>
              <w:rPr>
                <w:rFonts w:cs="Calibri"/>
                <w:b/>
                <w:color w:val="000000"/>
              </w:rPr>
            </w:pPr>
            <w:r w:rsidRPr="00342AC5">
              <w:rPr>
                <w:rFonts w:cs="Calibri"/>
                <w:b/>
                <w:color w:val="000000"/>
              </w:rPr>
              <w:t>339.048</w:t>
            </w:r>
          </w:p>
        </w:tc>
        <w:tc>
          <w:tcPr>
            <w:tcW w:w="2303" w:type="dxa"/>
          </w:tcPr>
          <w:p w:rsidR="00362A65" w:rsidRPr="00342AC5" w:rsidRDefault="00362A65" w:rsidP="00F52116">
            <w:pPr>
              <w:rPr>
                <w:rFonts w:cs="Calibri"/>
                <w:b/>
                <w:color w:val="FF0000"/>
              </w:rPr>
            </w:pPr>
            <w:r w:rsidRPr="00342AC5">
              <w:rPr>
                <w:rFonts w:cs="Calibri"/>
                <w:b/>
                <w:color w:val="00B050"/>
              </w:rPr>
              <w:t>+10%</w:t>
            </w:r>
          </w:p>
        </w:tc>
      </w:tr>
      <w:bookmarkEnd w:id="0"/>
    </w:tbl>
    <w:p w:rsidR="00D612B2" w:rsidRDefault="00D612B2" w:rsidP="00F52116">
      <w:pPr>
        <w:rPr>
          <w:rFonts w:cs="Calibri"/>
          <w:color w:val="000000"/>
        </w:rPr>
      </w:pPr>
    </w:p>
    <w:p w:rsidR="00D612B2" w:rsidRDefault="00F31E47" w:rsidP="00F52116">
      <w:pPr>
        <w:rPr>
          <w:rFonts w:cs="Calibri"/>
          <w:color w:val="000000"/>
        </w:rPr>
      </w:pPr>
      <w:r>
        <w:rPr>
          <w:rFonts w:cs="Calibri"/>
          <w:color w:val="000000"/>
        </w:rPr>
        <w:t>Globaal ge</w:t>
      </w:r>
      <w:r w:rsidR="00441B40">
        <w:rPr>
          <w:rFonts w:cs="Calibri"/>
          <w:color w:val="000000"/>
        </w:rPr>
        <w:t>zien</w:t>
      </w:r>
      <w:r>
        <w:rPr>
          <w:rFonts w:cs="Calibri"/>
          <w:color w:val="000000"/>
        </w:rPr>
        <w:t xml:space="preserve"> </w:t>
      </w:r>
      <w:r w:rsidR="00D612B2">
        <w:rPr>
          <w:rFonts w:cs="Calibri"/>
          <w:color w:val="000000"/>
        </w:rPr>
        <w:t xml:space="preserve">hebben de aanslagen weinig impact op het aantal bezoekers aan de musea. </w:t>
      </w:r>
      <w:r>
        <w:rPr>
          <w:rFonts w:cs="Calibri"/>
          <w:color w:val="000000"/>
        </w:rPr>
        <w:t xml:space="preserve">Immers, het totaal aantal bezoeken tijdens de eerste 10 maanden van 2016 is met 10% gestegen tegenover 2015. </w:t>
      </w:r>
      <w:r w:rsidR="00D612B2">
        <w:rPr>
          <w:rFonts w:cs="Calibri"/>
          <w:color w:val="000000"/>
        </w:rPr>
        <w:t xml:space="preserve"> In het eerste kwartaal zijn er even veel bezoekers als tijdens het topjaar 2015. In het tweede kwartaal zien we een stijging met de helft. Dit is volledig te wijten aan het succes van de tentoonstellingen die 6 musea</w:t>
      </w:r>
      <w:r w:rsidR="00441B40">
        <w:rPr>
          <w:rFonts w:cs="Calibri"/>
          <w:color w:val="000000"/>
        </w:rPr>
        <w:t xml:space="preserve"> op dat moment organiseren</w:t>
      </w:r>
      <w:r w:rsidR="00D612B2">
        <w:rPr>
          <w:rFonts w:cs="Calibri"/>
          <w:color w:val="000000"/>
        </w:rPr>
        <w:t>.</w:t>
      </w:r>
      <w:r w:rsidR="00362A65">
        <w:rPr>
          <w:rFonts w:cs="Calibri"/>
          <w:color w:val="000000"/>
        </w:rPr>
        <w:t xml:space="preserve"> Bovendien is het bezoekersprofiel </w:t>
      </w:r>
      <w:r w:rsidR="00441B40">
        <w:rPr>
          <w:rFonts w:cs="Calibri"/>
          <w:color w:val="000000"/>
        </w:rPr>
        <w:t xml:space="preserve">van musea </w:t>
      </w:r>
      <w:r w:rsidR="00362A65">
        <w:rPr>
          <w:rFonts w:cs="Calibri"/>
          <w:color w:val="000000"/>
        </w:rPr>
        <w:t xml:space="preserve">minder internationaal als </w:t>
      </w:r>
      <w:r w:rsidR="00441B40">
        <w:rPr>
          <w:rFonts w:cs="Calibri"/>
          <w:color w:val="000000"/>
        </w:rPr>
        <w:t xml:space="preserve">dat van </w:t>
      </w:r>
      <w:r w:rsidR="00362A65">
        <w:rPr>
          <w:rFonts w:cs="Calibri"/>
          <w:color w:val="000000"/>
        </w:rPr>
        <w:t xml:space="preserve">toeristische trekpleisters zoals het Gravensteen. </w:t>
      </w:r>
      <w:r w:rsidR="00D612B2">
        <w:rPr>
          <w:rFonts w:cs="Calibri"/>
          <w:color w:val="000000"/>
        </w:rPr>
        <w:t>Toch merkten de musea een impact</w:t>
      </w:r>
      <w:r w:rsidR="00362A65">
        <w:rPr>
          <w:rFonts w:cs="Calibri"/>
          <w:color w:val="000000"/>
        </w:rPr>
        <w:t xml:space="preserve"> de eerste weken na de aanslag. Zo hebben een aantal scholen een </w:t>
      </w:r>
      <w:r w:rsidR="00362A65">
        <w:rPr>
          <w:rFonts w:cs="Calibri"/>
          <w:color w:val="000000"/>
        </w:rPr>
        <w:lastRenderedPageBreak/>
        <w:t>bezoek afgezegd. Dit was echter onvoldoende om de cijfers negatief te beïnvloeden. Dat steunt de bevinding dat de daling</w:t>
      </w:r>
      <w:r w:rsidR="00441B40">
        <w:rPr>
          <w:rFonts w:cs="Calibri"/>
          <w:color w:val="000000"/>
        </w:rPr>
        <w:t xml:space="preserve"> vanaf</w:t>
      </w:r>
      <w:r w:rsidR="00362A65">
        <w:rPr>
          <w:rFonts w:cs="Calibri"/>
          <w:color w:val="000000"/>
        </w:rPr>
        <w:t xml:space="preserve"> het </w:t>
      </w:r>
      <w:r w:rsidR="00441B40">
        <w:rPr>
          <w:rFonts w:cs="Calibri"/>
          <w:color w:val="000000"/>
        </w:rPr>
        <w:t>3</w:t>
      </w:r>
      <w:r w:rsidR="00441B40" w:rsidRPr="00441B40">
        <w:rPr>
          <w:rFonts w:cs="Calibri"/>
          <w:color w:val="000000"/>
          <w:vertAlign w:val="superscript"/>
        </w:rPr>
        <w:t>e</w:t>
      </w:r>
      <w:r w:rsidR="00441B40">
        <w:rPr>
          <w:rFonts w:cs="Calibri"/>
          <w:color w:val="000000"/>
        </w:rPr>
        <w:t xml:space="preserve"> </w:t>
      </w:r>
      <w:r w:rsidR="00362A65">
        <w:rPr>
          <w:rFonts w:cs="Calibri"/>
          <w:color w:val="000000"/>
        </w:rPr>
        <w:t>kwartaal niet ge</w:t>
      </w:r>
      <w:r w:rsidR="00441B40">
        <w:rPr>
          <w:rFonts w:cs="Calibri"/>
          <w:color w:val="000000"/>
        </w:rPr>
        <w:t xml:space="preserve">relateerd is met </w:t>
      </w:r>
      <w:r w:rsidR="00362A65">
        <w:rPr>
          <w:rFonts w:cs="Calibri"/>
          <w:color w:val="000000"/>
        </w:rPr>
        <w:t xml:space="preserve">de aanslagen. </w:t>
      </w:r>
    </w:p>
    <w:p w:rsidR="00213FA6" w:rsidRDefault="00362A65" w:rsidP="00213FA6">
      <w:pPr>
        <w:autoSpaceDE w:val="0"/>
        <w:autoSpaceDN w:val="0"/>
        <w:adjustRightInd w:val="0"/>
        <w:spacing w:after="0" w:line="240" w:lineRule="auto"/>
        <w:rPr>
          <w:rFonts w:cs="Calibri"/>
        </w:rPr>
      </w:pPr>
      <w:r w:rsidRPr="00342AC5">
        <w:rPr>
          <w:rFonts w:cs="Calibri"/>
        </w:rPr>
        <w:t xml:space="preserve">Ook de </w:t>
      </w:r>
      <w:r w:rsidR="00213FA6" w:rsidRPr="00342AC5">
        <w:rPr>
          <w:rFonts w:cs="Calibri"/>
          <w:b/>
        </w:rPr>
        <w:t>Sint- Pietersabdij</w:t>
      </w:r>
      <w:r w:rsidR="00213FA6" w:rsidRPr="00342AC5">
        <w:rPr>
          <w:rFonts w:cs="Calibri"/>
        </w:rPr>
        <w:t xml:space="preserve"> </w:t>
      </w:r>
      <w:r w:rsidRPr="00342AC5">
        <w:rPr>
          <w:rFonts w:cs="Calibri"/>
        </w:rPr>
        <w:t xml:space="preserve">, een onderdeel van </w:t>
      </w:r>
      <w:r w:rsidR="00213FA6" w:rsidRPr="00342AC5">
        <w:rPr>
          <w:rFonts w:cs="Calibri"/>
        </w:rPr>
        <w:t>IVA Historische Huizen Gent</w:t>
      </w:r>
      <w:r w:rsidRPr="00342AC5">
        <w:rPr>
          <w:rFonts w:cs="Calibri"/>
        </w:rPr>
        <w:t xml:space="preserve">, is minder </w:t>
      </w:r>
      <w:r w:rsidR="00213FA6" w:rsidRPr="00342AC5">
        <w:rPr>
          <w:rFonts w:cs="Calibri"/>
        </w:rPr>
        <w:t>afhankelijk van buitenlandse toeristen dan vb. het Gravensteen.  Elke tentoonstelling heeft een eigen doelpubliek</w:t>
      </w:r>
      <w:r w:rsidRPr="00342AC5">
        <w:rPr>
          <w:rFonts w:cs="Calibri"/>
        </w:rPr>
        <w:t xml:space="preserve">. Zo zette </w:t>
      </w:r>
      <w:r w:rsidR="00213FA6" w:rsidRPr="00342AC5">
        <w:rPr>
          <w:rFonts w:cs="Calibri"/>
        </w:rPr>
        <w:t>de fototentoonstelling ‘Leica’ met meer dan 10.000 bezoekers een heel behoorlijk resultaat neer</w:t>
      </w:r>
      <w:r w:rsidRPr="00342AC5">
        <w:rPr>
          <w:rFonts w:cs="Calibri"/>
        </w:rPr>
        <w:t xml:space="preserve"> dit jaar</w:t>
      </w:r>
      <w:r w:rsidR="00213FA6" w:rsidRPr="00342AC5">
        <w:rPr>
          <w:rFonts w:cs="Calibri"/>
        </w:rPr>
        <w:t>. Ter vergelijking: ‘</w:t>
      </w:r>
      <w:r w:rsidR="00213FA6" w:rsidRPr="00342AC5">
        <w:rPr>
          <w:rFonts w:cs="Calibri"/>
          <w:i/>
        </w:rPr>
        <w:t>80 days of summer’</w:t>
      </w:r>
      <w:r w:rsidR="00213FA6" w:rsidRPr="00342AC5">
        <w:rPr>
          <w:rFonts w:cs="Calibri"/>
        </w:rPr>
        <w:t xml:space="preserve"> </w:t>
      </w:r>
      <w:r w:rsidRPr="00342AC5">
        <w:rPr>
          <w:rFonts w:cs="Calibri"/>
        </w:rPr>
        <w:t>haalde in 2015</w:t>
      </w:r>
      <w:r w:rsidR="00213FA6" w:rsidRPr="00342AC5">
        <w:rPr>
          <w:rFonts w:cs="Calibri"/>
        </w:rPr>
        <w:t xml:space="preserve"> </w:t>
      </w:r>
      <w:r w:rsidRPr="00342AC5">
        <w:rPr>
          <w:rFonts w:cs="Calibri"/>
        </w:rPr>
        <w:t xml:space="preserve">zo’n </w:t>
      </w:r>
      <w:r w:rsidR="00213FA6" w:rsidRPr="00342AC5">
        <w:rPr>
          <w:rFonts w:cs="Calibri"/>
        </w:rPr>
        <w:t xml:space="preserve">7.800 bezoekers. </w:t>
      </w:r>
    </w:p>
    <w:p w:rsidR="00D34C30" w:rsidRPr="00342AC5" w:rsidRDefault="00D34C30" w:rsidP="00213FA6">
      <w:pPr>
        <w:autoSpaceDE w:val="0"/>
        <w:autoSpaceDN w:val="0"/>
        <w:adjustRightInd w:val="0"/>
        <w:spacing w:after="0" w:line="240" w:lineRule="auto"/>
        <w:rPr>
          <w:rFonts w:cs="Calibri"/>
        </w:rPr>
      </w:pPr>
    </w:p>
    <w:p w:rsidR="00213FA6" w:rsidRPr="00342AC5" w:rsidRDefault="00147E87" w:rsidP="00342AC5">
      <w:pPr>
        <w:pStyle w:val="Lijstalinea"/>
        <w:numPr>
          <w:ilvl w:val="0"/>
          <w:numId w:val="4"/>
        </w:numPr>
        <w:rPr>
          <w:rFonts w:cs="Calibri"/>
          <w:b/>
          <w:i/>
          <w:color w:val="000000"/>
          <w:u w:val="single"/>
        </w:rPr>
      </w:pPr>
      <w:r w:rsidRPr="00342AC5">
        <w:rPr>
          <w:rFonts w:cs="Calibri"/>
          <w:b/>
          <w:i/>
          <w:color w:val="000000"/>
          <w:u w:val="single"/>
        </w:rPr>
        <w:t>Evolutie bezoekersaantallen Gentse toeristische trekpleisters</w:t>
      </w:r>
    </w:p>
    <w:p w:rsidR="00352DBA" w:rsidRPr="00342AC5" w:rsidRDefault="00521D06" w:rsidP="003966CC">
      <w:pPr>
        <w:autoSpaceDE w:val="0"/>
        <w:autoSpaceDN w:val="0"/>
        <w:adjustRightInd w:val="0"/>
        <w:spacing w:after="0" w:line="240" w:lineRule="auto"/>
        <w:rPr>
          <w:rFonts w:cs="Calibri"/>
        </w:rPr>
      </w:pPr>
      <w:r>
        <w:rPr>
          <w:rFonts w:cs="Calibri"/>
        </w:rPr>
        <w:t>H</w:t>
      </w:r>
      <w:r w:rsidR="00147E87" w:rsidRPr="00342AC5">
        <w:rPr>
          <w:rFonts w:cs="Calibri"/>
        </w:rPr>
        <w:t xml:space="preserve">et </w:t>
      </w:r>
      <w:r w:rsidR="00147E87" w:rsidRPr="00342AC5">
        <w:rPr>
          <w:rFonts w:cs="Calibri"/>
          <w:b/>
        </w:rPr>
        <w:t>Gravensteen</w:t>
      </w:r>
      <w:r w:rsidR="00147E87" w:rsidRPr="00342AC5">
        <w:rPr>
          <w:rFonts w:cs="Calibri"/>
        </w:rPr>
        <w:t xml:space="preserve">, onderdeel van IVA Historische Huizen, </w:t>
      </w:r>
      <w:r>
        <w:rPr>
          <w:rFonts w:cs="Calibri"/>
        </w:rPr>
        <w:t xml:space="preserve">toont volgende </w:t>
      </w:r>
      <w:r w:rsidR="00352DBA" w:rsidRPr="00342AC5">
        <w:rPr>
          <w:rFonts w:cs="Calibri"/>
        </w:rPr>
        <w:t>cijfers t.e.m. oktober 2016 :</w:t>
      </w:r>
    </w:p>
    <w:p w:rsidR="00352DBA" w:rsidRPr="00342AC5" w:rsidRDefault="00352DBA" w:rsidP="003966CC">
      <w:pPr>
        <w:autoSpaceDE w:val="0"/>
        <w:autoSpaceDN w:val="0"/>
        <w:adjustRightInd w:val="0"/>
        <w:spacing w:after="0" w:line="240" w:lineRule="auto"/>
        <w:rPr>
          <w:rFonts w:cs="Calibri"/>
        </w:rPr>
      </w:pPr>
    </w:p>
    <w:tbl>
      <w:tblPr>
        <w:tblStyle w:val="Tabelraster"/>
        <w:tblW w:w="0" w:type="auto"/>
        <w:tblLook w:val="04A0" w:firstRow="1" w:lastRow="0" w:firstColumn="1" w:lastColumn="0" w:noHBand="0" w:noVBand="1"/>
      </w:tblPr>
      <w:tblGrid>
        <w:gridCol w:w="2303"/>
        <w:gridCol w:w="2303"/>
        <w:gridCol w:w="2303"/>
        <w:gridCol w:w="2303"/>
      </w:tblGrid>
      <w:tr w:rsidR="00DB276E" w:rsidRPr="00D34C30" w:rsidTr="00352DBA">
        <w:tc>
          <w:tcPr>
            <w:tcW w:w="2303" w:type="dxa"/>
          </w:tcPr>
          <w:p w:rsidR="00352DBA" w:rsidRPr="00342AC5" w:rsidRDefault="00352DBA" w:rsidP="003966CC">
            <w:pPr>
              <w:autoSpaceDE w:val="0"/>
              <w:autoSpaceDN w:val="0"/>
              <w:adjustRightInd w:val="0"/>
              <w:rPr>
                <w:rFonts w:cs="Calibri"/>
                <w:b/>
              </w:rPr>
            </w:pPr>
            <w:r w:rsidRPr="00342AC5">
              <w:rPr>
                <w:rFonts w:cs="Calibri"/>
                <w:b/>
              </w:rPr>
              <w:t>Gravensteen</w:t>
            </w:r>
          </w:p>
        </w:tc>
        <w:tc>
          <w:tcPr>
            <w:tcW w:w="2303" w:type="dxa"/>
          </w:tcPr>
          <w:p w:rsidR="00352DBA" w:rsidRPr="00342AC5" w:rsidRDefault="00352DBA" w:rsidP="003966CC">
            <w:pPr>
              <w:autoSpaceDE w:val="0"/>
              <w:autoSpaceDN w:val="0"/>
              <w:adjustRightInd w:val="0"/>
              <w:rPr>
                <w:rFonts w:cs="Calibri"/>
                <w:b/>
              </w:rPr>
            </w:pPr>
            <w:r w:rsidRPr="00342AC5">
              <w:rPr>
                <w:rFonts w:cs="Calibri"/>
                <w:b/>
              </w:rPr>
              <w:t>2015</w:t>
            </w:r>
          </w:p>
        </w:tc>
        <w:tc>
          <w:tcPr>
            <w:tcW w:w="2303" w:type="dxa"/>
          </w:tcPr>
          <w:p w:rsidR="00352DBA" w:rsidRPr="00342AC5" w:rsidRDefault="00352DBA" w:rsidP="003966CC">
            <w:pPr>
              <w:autoSpaceDE w:val="0"/>
              <w:autoSpaceDN w:val="0"/>
              <w:adjustRightInd w:val="0"/>
              <w:rPr>
                <w:rFonts w:cs="Calibri"/>
                <w:b/>
              </w:rPr>
            </w:pPr>
            <w:r w:rsidRPr="00342AC5">
              <w:rPr>
                <w:rFonts w:cs="Calibri"/>
                <w:b/>
              </w:rPr>
              <w:t>2016</w:t>
            </w:r>
          </w:p>
        </w:tc>
        <w:tc>
          <w:tcPr>
            <w:tcW w:w="2303" w:type="dxa"/>
          </w:tcPr>
          <w:p w:rsidR="00352DBA" w:rsidRPr="00342AC5" w:rsidRDefault="00352DBA" w:rsidP="003966CC">
            <w:pPr>
              <w:autoSpaceDE w:val="0"/>
              <w:autoSpaceDN w:val="0"/>
              <w:adjustRightInd w:val="0"/>
              <w:rPr>
                <w:rFonts w:cs="Calibri"/>
                <w:b/>
              </w:rPr>
            </w:pPr>
            <w:r w:rsidRPr="00342AC5">
              <w:rPr>
                <w:rFonts w:cs="Calibri"/>
                <w:b/>
              </w:rPr>
              <w:t>Evolutie 2016/2015</w:t>
            </w:r>
          </w:p>
        </w:tc>
      </w:tr>
      <w:tr w:rsidR="00DB276E" w:rsidRPr="00DB276E" w:rsidTr="00352DBA">
        <w:tc>
          <w:tcPr>
            <w:tcW w:w="2303" w:type="dxa"/>
          </w:tcPr>
          <w:p w:rsidR="00352DBA" w:rsidRPr="00342AC5" w:rsidRDefault="00352DBA" w:rsidP="003966CC">
            <w:pPr>
              <w:autoSpaceDE w:val="0"/>
              <w:autoSpaceDN w:val="0"/>
              <w:adjustRightInd w:val="0"/>
              <w:rPr>
                <w:rFonts w:cs="Calibri"/>
              </w:rPr>
            </w:pPr>
            <w:r w:rsidRPr="00342AC5">
              <w:rPr>
                <w:rFonts w:cs="Calibri"/>
              </w:rPr>
              <w:t>Kwartaal 1</w:t>
            </w:r>
          </w:p>
        </w:tc>
        <w:tc>
          <w:tcPr>
            <w:tcW w:w="2303" w:type="dxa"/>
          </w:tcPr>
          <w:p w:rsidR="00352DBA" w:rsidRPr="00342AC5" w:rsidRDefault="00352DBA" w:rsidP="003966CC">
            <w:pPr>
              <w:autoSpaceDE w:val="0"/>
              <w:autoSpaceDN w:val="0"/>
              <w:adjustRightInd w:val="0"/>
              <w:rPr>
                <w:rFonts w:cs="Calibri"/>
              </w:rPr>
            </w:pPr>
            <w:r w:rsidRPr="00342AC5">
              <w:rPr>
                <w:rFonts w:cs="Calibri"/>
              </w:rPr>
              <w:t>55.938</w:t>
            </w:r>
          </w:p>
        </w:tc>
        <w:tc>
          <w:tcPr>
            <w:tcW w:w="2303" w:type="dxa"/>
          </w:tcPr>
          <w:p w:rsidR="00352DBA" w:rsidRPr="00342AC5" w:rsidRDefault="00352DBA" w:rsidP="003966CC">
            <w:pPr>
              <w:autoSpaceDE w:val="0"/>
              <w:autoSpaceDN w:val="0"/>
              <w:adjustRightInd w:val="0"/>
              <w:rPr>
                <w:rFonts w:cs="Calibri"/>
              </w:rPr>
            </w:pPr>
            <w:r w:rsidRPr="00342AC5">
              <w:rPr>
                <w:rFonts w:cs="Calibri"/>
              </w:rPr>
              <w:t>55.440</w:t>
            </w:r>
          </w:p>
        </w:tc>
        <w:tc>
          <w:tcPr>
            <w:tcW w:w="2303" w:type="dxa"/>
          </w:tcPr>
          <w:p w:rsidR="00352DBA" w:rsidRPr="00342AC5" w:rsidRDefault="00352DBA" w:rsidP="003966CC">
            <w:pPr>
              <w:autoSpaceDE w:val="0"/>
              <w:autoSpaceDN w:val="0"/>
              <w:adjustRightInd w:val="0"/>
              <w:rPr>
                <w:rFonts w:cs="Calibri"/>
                <w:color w:val="FF0000"/>
              </w:rPr>
            </w:pPr>
            <w:r w:rsidRPr="00342AC5">
              <w:rPr>
                <w:rFonts w:cs="Calibri"/>
                <w:color w:val="FF0000"/>
              </w:rPr>
              <w:t>-1%</w:t>
            </w:r>
          </w:p>
        </w:tc>
      </w:tr>
      <w:tr w:rsidR="00DB276E" w:rsidRPr="00DB276E" w:rsidTr="00352DBA">
        <w:tc>
          <w:tcPr>
            <w:tcW w:w="2303" w:type="dxa"/>
          </w:tcPr>
          <w:p w:rsidR="00352DBA" w:rsidRPr="00342AC5" w:rsidRDefault="00352DBA" w:rsidP="003966CC">
            <w:pPr>
              <w:autoSpaceDE w:val="0"/>
              <w:autoSpaceDN w:val="0"/>
              <w:adjustRightInd w:val="0"/>
              <w:rPr>
                <w:rFonts w:cs="Calibri"/>
              </w:rPr>
            </w:pPr>
            <w:r w:rsidRPr="00342AC5">
              <w:rPr>
                <w:rFonts w:cs="Calibri"/>
              </w:rPr>
              <w:t>Kwartaal 2</w:t>
            </w:r>
          </w:p>
        </w:tc>
        <w:tc>
          <w:tcPr>
            <w:tcW w:w="2303" w:type="dxa"/>
          </w:tcPr>
          <w:p w:rsidR="00352DBA" w:rsidRPr="00342AC5" w:rsidRDefault="00352DBA" w:rsidP="003966CC">
            <w:pPr>
              <w:autoSpaceDE w:val="0"/>
              <w:autoSpaceDN w:val="0"/>
              <w:adjustRightInd w:val="0"/>
              <w:rPr>
                <w:rFonts w:cs="Calibri"/>
              </w:rPr>
            </w:pPr>
            <w:r w:rsidRPr="00342AC5">
              <w:rPr>
                <w:rFonts w:cs="Calibri"/>
              </w:rPr>
              <w:t>90.992</w:t>
            </w:r>
          </w:p>
        </w:tc>
        <w:tc>
          <w:tcPr>
            <w:tcW w:w="2303" w:type="dxa"/>
          </w:tcPr>
          <w:p w:rsidR="00352DBA" w:rsidRPr="00342AC5" w:rsidRDefault="00352DBA" w:rsidP="003966CC">
            <w:pPr>
              <w:autoSpaceDE w:val="0"/>
              <w:autoSpaceDN w:val="0"/>
              <w:adjustRightInd w:val="0"/>
              <w:rPr>
                <w:rFonts w:cs="Calibri"/>
              </w:rPr>
            </w:pPr>
            <w:r w:rsidRPr="00342AC5">
              <w:rPr>
                <w:rFonts w:cs="Calibri"/>
              </w:rPr>
              <w:t>83.663</w:t>
            </w:r>
          </w:p>
        </w:tc>
        <w:tc>
          <w:tcPr>
            <w:tcW w:w="2303" w:type="dxa"/>
          </w:tcPr>
          <w:p w:rsidR="00352DBA" w:rsidRPr="00342AC5" w:rsidRDefault="00352DBA" w:rsidP="003966CC">
            <w:pPr>
              <w:autoSpaceDE w:val="0"/>
              <w:autoSpaceDN w:val="0"/>
              <w:adjustRightInd w:val="0"/>
              <w:rPr>
                <w:rFonts w:cs="Calibri"/>
                <w:color w:val="FF0000"/>
              </w:rPr>
            </w:pPr>
            <w:r w:rsidRPr="00342AC5">
              <w:rPr>
                <w:rFonts w:cs="Calibri"/>
                <w:color w:val="FF0000"/>
              </w:rPr>
              <w:t>-8%</w:t>
            </w:r>
          </w:p>
        </w:tc>
      </w:tr>
      <w:tr w:rsidR="00DB276E" w:rsidRPr="00DB276E" w:rsidTr="00352DBA">
        <w:tc>
          <w:tcPr>
            <w:tcW w:w="2303" w:type="dxa"/>
          </w:tcPr>
          <w:p w:rsidR="00352DBA" w:rsidRPr="00342AC5" w:rsidRDefault="00352DBA" w:rsidP="003966CC">
            <w:pPr>
              <w:autoSpaceDE w:val="0"/>
              <w:autoSpaceDN w:val="0"/>
              <w:adjustRightInd w:val="0"/>
              <w:rPr>
                <w:rFonts w:cs="Calibri"/>
              </w:rPr>
            </w:pPr>
            <w:r w:rsidRPr="00342AC5">
              <w:rPr>
                <w:rFonts w:cs="Calibri"/>
              </w:rPr>
              <w:t>Kwartaal 3</w:t>
            </w:r>
          </w:p>
        </w:tc>
        <w:tc>
          <w:tcPr>
            <w:tcW w:w="2303" w:type="dxa"/>
          </w:tcPr>
          <w:p w:rsidR="00352DBA" w:rsidRPr="00342AC5" w:rsidRDefault="00352DBA" w:rsidP="003966CC">
            <w:pPr>
              <w:autoSpaceDE w:val="0"/>
              <w:autoSpaceDN w:val="0"/>
              <w:adjustRightInd w:val="0"/>
              <w:rPr>
                <w:rFonts w:cs="Calibri"/>
              </w:rPr>
            </w:pPr>
            <w:r w:rsidRPr="00342AC5">
              <w:rPr>
                <w:rFonts w:cs="Calibri"/>
              </w:rPr>
              <w:t>96.539</w:t>
            </w:r>
          </w:p>
        </w:tc>
        <w:tc>
          <w:tcPr>
            <w:tcW w:w="2303" w:type="dxa"/>
          </w:tcPr>
          <w:p w:rsidR="00352DBA" w:rsidRPr="00342AC5" w:rsidRDefault="00352DBA" w:rsidP="003966CC">
            <w:pPr>
              <w:autoSpaceDE w:val="0"/>
              <w:autoSpaceDN w:val="0"/>
              <w:adjustRightInd w:val="0"/>
              <w:rPr>
                <w:rFonts w:cs="Calibri"/>
              </w:rPr>
            </w:pPr>
            <w:r w:rsidRPr="00342AC5">
              <w:rPr>
                <w:rFonts w:cs="Calibri"/>
              </w:rPr>
              <w:t>79.066</w:t>
            </w:r>
          </w:p>
        </w:tc>
        <w:tc>
          <w:tcPr>
            <w:tcW w:w="2303" w:type="dxa"/>
          </w:tcPr>
          <w:p w:rsidR="00352DBA" w:rsidRPr="00342AC5" w:rsidRDefault="00352DBA" w:rsidP="003966CC">
            <w:pPr>
              <w:autoSpaceDE w:val="0"/>
              <w:autoSpaceDN w:val="0"/>
              <w:adjustRightInd w:val="0"/>
              <w:rPr>
                <w:rFonts w:cs="Calibri"/>
                <w:color w:val="FF0000"/>
              </w:rPr>
            </w:pPr>
            <w:r w:rsidRPr="00342AC5">
              <w:rPr>
                <w:rFonts w:cs="Calibri"/>
                <w:color w:val="FF0000"/>
              </w:rPr>
              <w:t>-18%</w:t>
            </w:r>
          </w:p>
        </w:tc>
      </w:tr>
      <w:tr w:rsidR="00DB276E" w:rsidRPr="00DB276E" w:rsidTr="00352DBA">
        <w:tc>
          <w:tcPr>
            <w:tcW w:w="2303" w:type="dxa"/>
          </w:tcPr>
          <w:p w:rsidR="00352DBA" w:rsidRPr="00342AC5" w:rsidRDefault="00352DBA" w:rsidP="003966CC">
            <w:pPr>
              <w:autoSpaceDE w:val="0"/>
              <w:autoSpaceDN w:val="0"/>
              <w:adjustRightInd w:val="0"/>
              <w:rPr>
                <w:rFonts w:cs="Calibri"/>
              </w:rPr>
            </w:pPr>
            <w:r w:rsidRPr="00342AC5">
              <w:rPr>
                <w:rFonts w:cs="Calibri"/>
              </w:rPr>
              <w:t xml:space="preserve">Oktober </w:t>
            </w:r>
          </w:p>
        </w:tc>
        <w:tc>
          <w:tcPr>
            <w:tcW w:w="2303" w:type="dxa"/>
          </w:tcPr>
          <w:p w:rsidR="00352DBA" w:rsidRPr="00342AC5" w:rsidRDefault="00352DBA" w:rsidP="003966CC">
            <w:pPr>
              <w:autoSpaceDE w:val="0"/>
              <w:autoSpaceDN w:val="0"/>
              <w:adjustRightInd w:val="0"/>
              <w:rPr>
                <w:rFonts w:cs="Calibri"/>
              </w:rPr>
            </w:pPr>
            <w:r w:rsidRPr="00342AC5">
              <w:rPr>
                <w:rFonts w:cs="Calibri"/>
              </w:rPr>
              <w:t>27.462</w:t>
            </w:r>
          </w:p>
        </w:tc>
        <w:tc>
          <w:tcPr>
            <w:tcW w:w="2303" w:type="dxa"/>
          </w:tcPr>
          <w:p w:rsidR="00352DBA" w:rsidRPr="00342AC5" w:rsidRDefault="00352DBA" w:rsidP="003966CC">
            <w:pPr>
              <w:autoSpaceDE w:val="0"/>
              <w:autoSpaceDN w:val="0"/>
              <w:adjustRightInd w:val="0"/>
              <w:rPr>
                <w:rFonts w:cs="Calibri"/>
              </w:rPr>
            </w:pPr>
            <w:r w:rsidRPr="00342AC5">
              <w:rPr>
                <w:rFonts w:cs="Calibri"/>
              </w:rPr>
              <w:t>28.268</w:t>
            </w:r>
          </w:p>
        </w:tc>
        <w:tc>
          <w:tcPr>
            <w:tcW w:w="2303" w:type="dxa"/>
          </w:tcPr>
          <w:p w:rsidR="00352DBA" w:rsidRPr="00342AC5" w:rsidRDefault="00352DBA" w:rsidP="003966CC">
            <w:pPr>
              <w:autoSpaceDE w:val="0"/>
              <w:autoSpaceDN w:val="0"/>
              <w:adjustRightInd w:val="0"/>
              <w:rPr>
                <w:rFonts w:cs="Calibri"/>
              </w:rPr>
            </w:pPr>
            <w:r w:rsidRPr="00342AC5">
              <w:rPr>
                <w:rFonts w:cs="Calibri"/>
                <w:color w:val="00B050"/>
              </w:rPr>
              <w:t>+3%</w:t>
            </w:r>
          </w:p>
        </w:tc>
      </w:tr>
      <w:tr w:rsidR="00DB276E" w:rsidRPr="00D34C30" w:rsidTr="00352DBA">
        <w:tc>
          <w:tcPr>
            <w:tcW w:w="2303" w:type="dxa"/>
          </w:tcPr>
          <w:p w:rsidR="00352DBA" w:rsidRPr="00342AC5" w:rsidRDefault="00352DBA" w:rsidP="003966CC">
            <w:pPr>
              <w:autoSpaceDE w:val="0"/>
              <w:autoSpaceDN w:val="0"/>
              <w:adjustRightInd w:val="0"/>
              <w:rPr>
                <w:rFonts w:cs="Calibri"/>
                <w:b/>
              </w:rPr>
            </w:pPr>
            <w:r w:rsidRPr="00342AC5">
              <w:rPr>
                <w:rFonts w:cs="Calibri"/>
                <w:b/>
              </w:rPr>
              <w:t>Totaal 10 maanden</w:t>
            </w:r>
          </w:p>
        </w:tc>
        <w:tc>
          <w:tcPr>
            <w:tcW w:w="2303" w:type="dxa"/>
          </w:tcPr>
          <w:p w:rsidR="00352DBA" w:rsidRPr="00342AC5" w:rsidRDefault="002A2620" w:rsidP="003966CC">
            <w:pPr>
              <w:autoSpaceDE w:val="0"/>
              <w:autoSpaceDN w:val="0"/>
              <w:adjustRightInd w:val="0"/>
              <w:rPr>
                <w:rFonts w:cs="Calibri"/>
                <w:b/>
              </w:rPr>
            </w:pPr>
            <w:r w:rsidRPr="00342AC5">
              <w:rPr>
                <w:rFonts w:cs="Calibri"/>
                <w:b/>
              </w:rPr>
              <w:t>270.931</w:t>
            </w:r>
          </w:p>
        </w:tc>
        <w:tc>
          <w:tcPr>
            <w:tcW w:w="2303" w:type="dxa"/>
          </w:tcPr>
          <w:p w:rsidR="00352DBA" w:rsidRPr="00342AC5" w:rsidRDefault="002A2620" w:rsidP="003966CC">
            <w:pPr>
              <w:autoSpaceDE w:val="0"/>
              <w:autoSpaceDN w:val="0"/>
              <w:adjustRightInd w:val="0"/>
              <w:rPr>
                <w:rFonts w:cs="Calibri"/>
                <w:b/>
              </w:rPr>
            </w:pPr>
            <w:r w:rsidRPr="00342AC5">
              <w:rPr>
                <w:rFonts w:cs="Calibri"/>
                <w:b/>
              </w:rPr>
              <w:t>246.437</w:t>
            </w:r>
          </w:p>
        </w:tc>
        <w:tc>
          <w:tcPr>
            <w:tcW w:w="2303" w:type="dxa"/>
          </w:tcPr>
          <w:p w:rsidR="00352DBA" w:rsidRPr="00342AC5" w:rsidRDefault="002A2620" w:rsidP="003966CC">
            <w:pPr>
              <w:autoSpaceDE w:val="0"/>
              <w:autoSpaceDN w:val="0"/>
              <w:adjustRightInd w:val="0"/>
              <w:rPr>
                <w:rFonts w:cs="Calibri"/>
                <w:b/>
              </w:rPr>
            </w:pPr>
            <w:r w:rsidRPr="00342AC5">
              <w:rPr>
                <w:rFonts w:cs="Calibri"/>
                <w:b/>
                <w:color w:val="FF0000"/>
              </w:rPr>
              <w:t>-9%</w:t>
            </w:r>
          </w:p>
        </w:tc>
      </w:tr>
    </w:tbl>
    <w:p w:rsidR="00352DBA" w:rsidRPr="00342AC5" w:rsidRDefault="00352DBA" w:rsidP="003966CC">
      <w:pPr>
        <w:autoSpaceDE w:val="0"/>
        <w:autoSpaceDN w:val="0"/>
        <w:adjustRightInd w:val="0"/>
        <w:spacing w:after="0" w:line="240" w:lineRule="auto"/>
        <w:rPr>
          <w:rFonts w:cs="Calibri"/>
        </w:rPr>
      </w:pPr>
    </w:p>
    <w:p w:rsidR="002A3EFF" w:rsidRPr="00342AC5" w:rsidRDefault="002A2620" w:rsidP="002A3EFF">
      <w:pPr>
        <w:autoSpaceDE w:val="0"/>
        <w:autoSpaceDN w:val="0"/>
        <w:adjustRightInd w:val="0"/>
        <w:spacing w:after="0" w:line="240" w:lineRule="auto"/>
        <w:rPr>
          <w:rFonts w:cs="Calibri"/>
        </w:rPr>
      </w:pPr>
      <w:r w:rsidRPr="00342AC5">
        <w:rPr>
          <w:rFonts w:cs="Calibri"/>
        </w:rPr>
        <w:t xml:space="preserve">De aanslagen hebben hier </w:t>
      </w:r>
      <w:r w:rsidR="00D34C30">
        <w:rPr>
          <w:rFonts w:cs="Calibri"/>
        </w:rPr>
        <w:t xml:space="preserve">wel </w:t>
      </w:r>
      <w:r w:rsidRPr="00342AC5">
        <w:rPr>
          <w:rFonts w:cs="Calibri"/>
        </w:rPr>
        <w:t>een impact op het aantal bezoekers.</w:t>
      </w:r>
      <w:r w:rsidR="00D34C30" w:rsidRPr="00D34C30">
        <w:rPr>
          <w:rFonts w:cs="Calibri"/>
        </w:rPr>
        <w:t xml:space="preserve"> </w:t>
      </w:r>
      <w:r w:rsidR="00D34C30">
        <w:rPr>
          <w:rFonts w:cs="Calibri"/>
        </w:rPr>
        <w:t xml:space="preserve">De eerste 10 maanden samen is er </w:t>
      </w:r>
      <w:r w:rsidR="00D34C30" w:rsidRPr="005D40E6">
        <w:rPr>
          <w:rFonts w:cs="Calibri"/>
        </w:rPr>
        <w:t xml:space="preserve">een daling van 9%. </w:t>
      </w:r>
      <w:r w:rsidRPr="00342AC5">
        <w:rPr>
          <w:rFonts w:cs="Calibri"/>
        </w:rPr>
        <w:t>In het eerste kwartaal zijn er evenveel bezoekers als in het topjaar 2015. Maar in het tweede kwartaal</w:t>
      </w:r>
      <w:r w:rsidR="00441B40">
        <w:rPr>
          <w:rFonts w:cs="Calibri"/>
        </w:rPr>
        <w:t xml:space="preserve"> (-8%)</w:t>
      </w:r>
      <w:r w:rsidRPr="00342AC5">
        <w:rPr>
          <w:rFonts w:cs="Calibri"/>
        </w:rPr>
        <w:t xml:space="preserve">, en vooral in het derde kwartaal </w:t>
      </w:r>
      <w:r w:rsidR="00441B40">
        <w:rPr>
          <w:rFonts w:cs="Calibri"/>
        </w:rPr>
        <w:t xml:space="preserve">(-18%) </w:t>
      </w:r>
      <w:r w:rsidRPr="00342AC5">
        <w:rPr>
          <w:rFonts w:cs="Calibri"/>
        </w:rPr>
        <w:t xml:space="preserve">zijn er minder </w:t>
      </w:r>
      <w:r w:rsidR="00441B40">
        <w:rPr>
          <w:rFonts w:cs="Calibri"/>
        </w:rPr>
        <w:t xml:space="preserve">bezoekers </w:t>
      </w:r>
      <w:r w:rsidRPr="00342AC5">
        <w:rPr>
          <w:rFonts w:cs="Calibri"/>
        </w:rPr>
        <w:t xml:space="preserve">aan het Gravensteen. </w:t>
      </w:r>
      <w:r w:rsidR="00D34C30" w:rsidRPr="005D40E6">
        <w:rPr>
          <w:rFonts w:cs="Calibri"/>
        </w:rPr>
        <w:t xml:space="preserve">Deze daling is te verklaren door een opvallend </w:t>
      </w:r>
      <w:r w:rsidR="00521D06">
        <w:rPr>
          <w:rFonts w:cs="Calibri"/>
        </w:rPr>
        <w:t>lage</w:t>
      </w:r>
      <w:r w:rsidR="00D34C30" w:rsidRPr="005D40E6">
        <w:rPr>
          <w:rFonts w:cs="Calibri"/>
        </w:rPr>
        <w:t xml:space="preserve">r aantal buitenlandse bezoekers. Maar niet alle herkomstlanden dalen even sterk. Er zijn voor de periode april tot en met augustus ongeveer 10% minder Nederlanders, 20 % minder Fransen, een derde minder Duitsers en maar liefst twee derde minder Spanjaarden. </w:t>
      </w:r>
      <w:r w:rsidR="00441B40">
        <w:rPr>
          <w:rFonts w:cs="Calibri"/>
        </w:rPr>
        <w:t>Het aantal Britten blijft stabiel</w:t>
      </w:r>
      <w:r w:rsidR="00D34C30" w:rsidRPr="005D40E6">
        <w:rPr>
          <w:rFonts w:cs="Calibri"/>
        </w:rPr>
        <w:t xml:space="preserve">. Er zijn ook minder </w:t>
      </w:r>
      <w:r w:rsidR="00441B40">
        <w:rPr>
          <w:rFonts w:cs="Calibri"/>
        </w:rPr>
        <w:t xml:space="preserve">bezoekers uit verre landen, zoals </w:t>
      </w:r>
      <w:r w:rsidR="00D34C30" w:rsidRPr="005D40E6">
        <w:rPr>
          <w:rFonts w:cs="Calibri"/>
        </w:rPr>
        <w:t>Russen (-50%) en Amerikanen (-25%).</w:t>
      </w:r>
      <w:r w:rsidR="00D34C30">
        <w:rPr>
          <w:rFonts w:cs="Calibri"/>
        </w:rPr>
        <w:t xml:space="preserve"> </w:t>
      </w:r>
      <w:r w:rsidR="00441B40">
        <w:rPr>
          <w:rFonts w:cs="Calibri"/>
        </w:rPr>
        <w:t xml:space="preserve"> Een </w:t>
      </w:r>
      <w:r w:rsidRPr="00342AC5">
        <w:rPr>
          <w:rFonts w:cs="Calibri"/>
        </w:rPr>
        <w:t xml:space="preserve">positief teken is dat in oktober voor het eerst aangeknoopt wordt met groeicijfers, zij het nog beperkt (+3%). We zullen nauwkeurig opvolgen of deze groei zich verderzet in november en december. </w:t>
      </w:r>
      <w:r w:rsidR="002A3EFF" w:rsidRPr="00342AC5">
        <w:rPr>
          <w:rFonts w:cs="Calibri"/>
        </w:rPr>
        <w:br/>
      </w:r>
    </w:p>
    <w:p w:rsidR="003966CC" w:rsidRPr="00342AC5" w:rsidRDefault="002A3EFF" w:rsidP="003966CC">
      <w:pPr>
        <w:autoSpaceDE w:val="0"/>
        <w:autoSpaceDN w:val="0"/>
        <w:adjustRightInd w:val="0"/>
        <w:spacing w:after="0" w:line="240" w:lineRule="auto"/>
        <w:rPr>
          <w:rFonts w:cs="Calibri"/>
        </w:rPr>
      </w:pPr>
      <w:r w:rsidRPr="00342AC5">
        <w:t xml:space="preserve">In de eerste plaats zijn het vooral de toeristen die in Brussel logeren, zoals veel Spanjaarden doen, die het laten afweten. Ze komen niet meer naar Brussel en dus </w:t>
      </w:r>
      <w:r w:rsidR="00D34C30">
        <w:t xml:space="preserve">maken ze </w:t>
      </w:r>
      <w:r w:rsidRPr="00342AC5">
        <w:t xml:space="preserve">ook geen daguitstap naar Gent. De toeristen die in Gent logeren, komen wel nog op bezoek. </w:t>
      </w:r>
    </w:p>
    <w:p w:rsidR="003966CC" w:rsidRPr="00342AC5" w:rsidRDefault="003966CC" w:rsidP="003966CC">
      <w:pPr>
        <w:autoSpaceDE w:val="0"/>
        <w:autoSpaceDN w:val="0"/>
        <w:adjustRightInd w:val="0"/>
        <w:spacing w:after="0" w:line="240" w:lineRule="auto"/>
        <w:rPr>
          <w:rFonts w:cs="SymbolMT"/>
        </w:rPr>
      </w:pPr>
    </w:p>
    <w:p w:rsidR="004E6339" w:rsidRPr="00342AC5" w:rsidRDefault="003966CC" w:rsidP="00F15BBA">
      <w:pPr>
        <w:autoSpaceDE w:val="0"/>
        <w:autoSpaceDN w:val="0"/>
        <w:adjustRightInd w:val="0"/>
        <w:spacing w:after="0" w:line="240" w:lineRule="auto"/>
        <w:rPr>
          <w:rFonts w:cs="Calibri"/>
        </w:rPr>
      </w:pPr>
      <w:r w:rsidRPr="00342AC5">
        <w:t xml:space="preserve">Het </w:t>
      </w:r>
      <w:r w:rsidRPr="00342AC5">
        <w:rPr>
          <w:b/>
        </w:rPr>
        <w:t>Belfort</w:t>
      </w:r>
      <w:r w:rsidRPr="00342AC5">
        <w:t xml:space="preserve"> kent in die periode een gelijkaardige terugval </w:t>
      </w:r>
      <w:r w:rsidR="002A3EFF" w:rsidRPr="00342AC5">
        <w:t xml:space="preserve">als het Gravensteen. Ook hier kunnen we </w:t>
      </w:r>
      <w:r w:rsidRPr="00342AC5">
        <w:t xml:space="preserve">met zekerheid stellen dat de aanslagen een impact gehad hebben op </w:t>
      </w:r>
      <w:r w:rsidR="002A3EFF" w:rsidRPr="00342AC5">
        <w:t>de bezoekerscijfers aan deze</w:t>
      </w:r>
      <w:r w:rsidRPr="00342AC5">
        <w:t xml:space="preserve"> toeristische trekpleister. </w:t>
      </w:r>
      <w:r w:rsidR="002A3EFF" w:rsidRPr="00342AC5">
        <w:t xml:space="preserve">Ook hier zijn het vooral de buitenlandse bezoekers die het laten afweten. </w:t>
      </w:r>
      <w:r w:rsidR="00521D06">
        <w:t xml:space="preserve">Maar in </w:t>
      </w:r>
      <w:r w:rsidR="002A3EFF" w:rsidRPr="00342AC5">
        <w:t xml:space="preserve">oktober </w:t>
      </w:r>
      <w:r w:rsidR="00521D06">
        <w:t xml:space="preserve">is </w:t>
      </w:r>
      <w:r w:rsidR="002A3EFF" w:rsidRPr="00342AC5">
        <w:t>voor het eerst een kleine heropleving te merken (+2%).</w:t>
      </w:r>
    </w:p>
    <w:p w:rsidR="002A3EFF" w:rsidRPr="00342AC5" w:rsidRDefault="002A3EFF" w:rsidP="00F15BBA">
      <w:pPr>
        <w:autoSpaceDE w:val="0"/>
        <w:autoSpaceDN w:val="0"/>
        <w:adjustRightInd w:val="0"/>
        <w:spacing w:after="0" w:line="240" w:lineRule="auto"/>
        <w:rPr>
          <w:rFonts w:cs="Calibri"/>
        </w:rPr>
      </w:pPr>
    </w:p>
    <w:p w:rsidR="00154C46" w:rsidRPr="00DB276E" w:rsidRDefault="00F15BBA" w:rsidP="00EA1E02">
      <w:r w:rsidRPr="00342AC5">
        <w:rPr>
          <w:rFonts w:cs="Calibri"/>
        </w:rPr>
        <w:t>De positieve trend van oktober is erg belangrijk om dit najaar volop in te zetten op de promotie van de Gentse winterperiode, en natuurlijk het komend toeristisch seizoen. Een sfeervolle en attractieve programmatie van de cultuurhuizen en toeristische trekpleisters is daarvoor zeer belangrijk!</w:t>
      </w:r>
    </w:p>
    <w:sectPr w:rsidR="00154C46" w:rsidRPr="00DB27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9B9" w:rsidRDefault="000029B9" w:rsidP="00EA1E02">
      <w:pPr>
        <w:spacing w:after="0" w:line="240" w:lineRule="auto"/>
      </w:pPr>
      <w:r>
        <w:separator/>
      </w:r>
    </w:p>
  </w:endnote>
  <w:endnote w:type="continuationSeparator" w:id="0">
    <w:p w:rsidR="000029B9" w:rsidRDefault="000029B9" w:rsidP="00EA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4D"/>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9B9" w:rsidRDefault="000029B9" w:rsidP="00EA1E02">
      <w:pPr>
        <w:spacing w:after="0" w:line="240" w:lineRule="auto"/>
      </w:pPr>
      <w:r>
        <w:separator/>
      </w:r>
    </w:p>
  </w:footnote>
  <w:footnote w:type="continuationSeparator" w:id="0">
    <w:p w:rsidR="000029B9" w:rsidRDefault="000029B9" w:rsidP="00EA1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1B16"/>
    <w:multiLevelType w:val="hybridMultilevel"/>
    <w:tmpl w:val="BF000F62"/>
    <w:lvl w:ilvl="0" w:tplc="7C462884">
      <w:start w:val="1"/>
      <w:numFmt w:val="bullet"/>
      <w:lvlText w:val="•"/>
      <w:lvlJc w:val="left"/>
      <w:pPr>
        <w:tabs>
          <w:tab w:val="num" w:pos="720"/>
        </w:tabs>
        <w:ind w:left="720" w:hanging="360"/>
      </w:pPr>
      <w:rPr>
        <w:rFonts w:ascii="Arial" w:hAnsi="Arial" w:hint="default"/>
      </w:rPr>
    </w:lvl>
    <w:lvl w:ilvl="1" w:tplc="D62C1324" w:tentative="1">
      <w:start w:val="1"/>
      <w:numFmt w:val="bullet"/>
      <w:lvlText w:val="•"/>
      <w:lvlJc w:val="left"/>
      <w:pPr>
        <w:tabs>
          <w:tab w:val="num" w:pos="1440"/>
        </w:tabs>
        <w:ind w:left="1440" w:hanging="360"/>
      </w:pPr>
      <w:rPr>
        <w:rFonts w:ascii="Arial" w:hAnsi="Arial" w:hint="default"/>
      </w:rPr>
    </w:lvl>
    <w:lvl w:ilvl="2" w:tplc="A7FAACCE" w:tentative="1">
      <w:start w:val="1"/>
      <w:numFmt w:val="bullet"/>
      <w:lvlText w:val="•"/>
      <w:lvlJc w:val="left"/>
      <w:pPr>
        <w:tabs>
          <w:tab w:val="num" w:pos="2160"/>
        </w:tabs>
        <w:ind w:left="2160" w:hanging="360"/>
      </w:pPr>
      <w:rPr>
        <w:rFonts w:ascii="Arial" w:hAnsi="Arial" w:hint="default"/>
      </w:rPr>
    </w:lvl>
    <w:lvl w:ilvl="3" w:tplc="E466AD00" w:tentative="1">
      <w:start w:val="1"/>
      <w:numFmt w:val="bullet"/>
      <w:lvlText w:val="•"/>
      <w:lvlJc w:val="left"/>
      <w:pPr>
        <w:tabs>
          <w:tab w:val="num" w:pos="2880"/>
        </w:tabs>
        <w:ind w:left="2880" w:hanging="360"/>
      </w:pPr>
      <w:rPr>
        <w:rFonts w:ascii="Arial" w:hAnsi="Arial" w:hint="default"/>
      </w:rPr>
    </w:lvl>
    <w:lvl w:ilvl="4" w:tplc="7196E9CC" w:tentative="1">
      <w:start w:val="1"/>
      <w:numFmt w:val="bullet"/>
      <w:lvlText w:val="•"/>
      <w:lvlJc w:val="left"/>
      <w:pPr>
        <w:tabs>
          <w:tab w:val="num" w:pos="3600"/>
        </w:tabs>
        <w:ind w:left="3600" w:hanging="360"/>
      </w:pPr>
      <w:rPr>
        <w:rFonts w:ascii="Arial" w:hAnsi="Arial" w:hint="default"/>
      </w:rPr>
    </w:lvl>
    <w:lvl w:ilvl="5" w:tplc="B7BC3414" w:tentative="1">
      <w:start w:val="1"/>
      <w:numFmt w:val="bullet"/>
      <w:lvlText w:val="•"/>
      <w:lvlJc w:val="left"/>
      <w:pPr>
        <w:tabs>
          <w:tab w:val="num" w:pos="4320"/>
        </w:tabs>
        <w:ind w:left="4320" w:hanging="360"/>
      </w:pPr>
      <w:rPr>
        <w:rFonts w:ascii="Arial" w:hAnsi="Arial" w:hint="default"/>
      </w:rPr>
    </w:lvl>
    <w:lvl w:ilvl="6" w:tplc="3796D318" w:tentative="1">
      <w:start w:val="1"/>
      <w:numFmt w:val="bullet"/>
      <w:lvlText w:val="•"/>
      <w:lvlJc w:val="left"/>
      <w:pPr>
        <w:tabs>
          <w:tab w:val="num" w:pos="5040"/>
        </w:tabs>
        <w:ind w:left="5040" w:hanging="360"/>
      </w:pPr>
      <w:rPr>
        <w:rFonts w:ascii="Arial" w:hAnsi="Arial" w:hint="default"/>
      </w:rPr>
    </w:lvl>
    <w:lvl w:ilvl="7" w:tplc="F82E9662" w:tentative="1">
      <w:start w:val="1"/>
      <w:numFmt w:val="bullet"/>
      <w:lvlText w:val="•"/>
      <w:lvlJc w:val="left"/>
      <w:pPr>
        <w:tabs>
          <w:tab w:val="num" w:pos="5760"/>
        </w:tabs>
        <w:ind w:left="5760" w:hanging="360"/>
      </w:pPr>
      <w:rPr>
        <w:rFonts w:ascii="Arial" w:hAnsi="Arial" w:hint="default"/>
      </w:rPr>
    </w:lvl>
    <w:lvl w:ilvl="8" w:tplc="C6AA16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8E02DF4"/>
    <w:multiLevelType w:val="hybridMultilevel"/>
    <w:tmpl w:val="E2B4AB9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975454E"/>
    <w:multiLevelType w:val="hybridMultilevel"/>
    <w:tmpl w:val="60F4D6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B9B3AA0"/>
    <w:multiLevelType w:val="hybridMultilevel"/>
    <w:tmpl w:val="03A641E8"/>
    <w:lvl w:ilvl="0" w:tplc="B8004F30">
      <w:start w:val="1"/>
      <w:numFmt w:val="bullet"/>
      <w:lvlText w:val="•"/>
      <w:lvlJc w:val="left"/>
      <w:pPr>
        <w:tabs>
          <w:tab w:val="num" w:pos="720"/>
        </w:tabs>
        <w:ind w:left="720" w:hanging="360"/>
      </w:pPr>
      <w:rPr>
        <w:rFonts w:ascii="Arial" w:hAnsi="Arial" w:hint="default"/>
      </w:rPr>
    </w:lvl>
    <w:lvl w:ilvl="1" w:tplc="765C3FBE" w:tentative="1">
      <w:start w:val="1"/>
      <w:numFmt w:val="bullet"/>
      <w:lvlText w:val="•"/>
      <w:lvlJc w:val="left"/>
      <w:pPr>
        <w:tabs>
          <w:tab w:val="num" w:pos="1440"/>
        </w:tabs>
        <w:ind w:left="1440" w:hanging="360"/>
      </w:pPr>
      <w:rPr>
        <w:rFonts w:ascii="Arial" w:hAnsi="Arial" w:hint="default"/>
      </w:rPr>
    </w:lvl>
    <w:lvl w:ilvl="2" w:tplc="B13856B2" w:tentative="1">
      <w:start w:val="1"/>
      <w:numFmt w:val="bullet"/>
      <w:lvlText w:val="•"/>
      <w:lvlJc w:val="left"/>
      <w:pPr>
        <w:tabs>
          <w:tab w:val="num" w:pos="2160"/>
        </w:tabs>
        <w:ind w:left="2160" w:hanging="360"/>
      </w:pPr>
      <w:rPr>
        <w:rFonts w:ascii="Arial" w:hAnsi="Arial" w:hint="default"/>
      </w:rPr>
    </w:lvl>
    <w:lvl w:ilvl="3" w:tplc="6F4E9366" w:tentative="1">
      <w:start w:val="1"/>
      <w:numFmt w:val="bullet"/>
      <w:lvlText w:val="•"/>
      <w:lvlJc w:val="left"/>
      <w:pPr>
        <w:tabs>
          <w:tab w:val="num" w:pos="2880"/>
        </w:tabs>
        <w:ind w:left="2880" w:hanging="360"/>
      </w:pPr>
      <w:rPr>
        <w:rFonts w:ascii="Arial" w:hAnsi="Arial" w:hint="default"/>
      </w:rPr>
    </w:lvl>
    <w:lvl w:ilvl="4" w:tplc="489863A4" w:tentative="1">
      <w:start w:val="1"/>
      <w:numFmt w:val="bullet"/>
      <w:lvlText w:val="•"/>
      <w:lvlJc w:val="left"/>
      <w:pPr>
        <w:tabs>
          <w:tab w:val="num" w:pos="3600"/>
        </w:tabs>
        <w:ind w:left="3600" w:hanging="360"/>
      </w:pPr>
      <w:rPr>
        <w:rFonts w:ascii="Arial" w:hAnsi="Arial" w:hint="default"/>
      </w:rPr>
    </w:lvl>
    <w:lvl w:ilvl="5" w:tplc="EA7AEC6C" w:tentative="1">
      <w:start w:val="1"/>
      <w:numFmt w:val="bullet"/>
      <w:lvlText w:val="•"/>
      <w:lvlJc w:val="left"/>
      <w:pPr>
        <w:tabs>
          <w:tab w:val="num" w:pos="4320"/>
        </w:tabs>
        <w:ind w:left="4320" w:hanging="360"/>
      </w:pPr>
      <w:rPr>
        <w:rFonts w:ascii="Arial" w:hAnsi="Arial" w:hint="default"/>
      </w:rPr>
    </w:lvl>
    <w:lvl w:ilvl="6" w:tplc="A64E9176" w:tentative="1">
      <w:start w:val="1"/>
      <w:numFmt w:val="bullet"/>
      <w:lvlText w:val="•"/>
      <w:lvlJc w:val="left"/>
      <w:pPr>
        <w:tabs>
          <w:tab w:val="num" w:pos="5040"/>
        </w:tabs>
        <w:ind w:left="5040" w:hanging="360"/>
      </w:pPr>
      <w:rPr>
        <w:rFonts w:ascii="Arial" w:hAnsi="Arial" w:hint="default"/>
      </w:rPr>
    </w:lvl>
    <w:lvl w:ilvl="7" w:tplc="F80218BA" w:tentative="1">
      <w:start w:val="1"/>
      <w:numFmt w:val="bullet"/>
      <w:lvlText w:val="•"/>
      <w:lvlJc w:val="left"/>
      <w:pPr>
        <w:tabs>
          <w:tab w:val="num" w:pos="5760"/>
        </w:tabs>
        <w:ind w:left="5760" w:hanging="360"/>
      </w:pPr>
      <w:rPr>
        <w:rFonts w:ascii="Arial" w:hAnsi="Arial" w:hint="default"/>
      </w:rPr>
    </w:lvl>
    <w:lvl w:ilvl="8" w:tplc="15162A2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16"/>
    <w:rsid w:val="000029B9"/>
    <w:rsid w:val="00017818"/>
    <w:rsid w:val="00072367"/>
    <w:rsid w:val="000F49B9"/>
    <w:rsid w:val="00147E87"/>
    <w:rsid w:val="00154C46"/>
    <w:rsid w:val="001921CB"/>
    <w:rsid w:val="001A2549"/>
    <w:rsid w:val="00210DD7"/>
    <w:rsid w:val="00213FA6"/>
    <w:rsid w:val="002851CC"/>
    <w:rsid w:val="00294746"/>
    <w:rsid w:val="002A2620"/>
    <w:rsid w:val="002A3EFF"/>
    <w:rsid w:val="002C2F73"/>
    <w:rsid w:val="003002CC"/>
    <w:rsid w:val="003032AA"/>
    <w:rsid w:val="00342AC5"/>
    <w:rsid w:val="00352DBA"/>
    <w:rsid w:val="00362A65"/>
    <w:rsid w:val="00376EE1"/>
    <w:rsid w:val="00384412"/>
    <w:rsid w:val="003966CC"/>
    <w:rsid w:val="003A09B9"/>
    <w:rsid w:val="003D4274"/>
    <w:rsid w:val="003F5EC8"/>
    <w:rsid w:val="00427E5B"/>
    <w:rsid w:val="00441B40"/>
    <w:rsid w:val="00472156"/>
    <w:rsid w:val="004E6339"/>
    <w:rsid w:val="00521D06"/>
    <w:rsid w:val="00577DB1"/>
    <w:rsid w:val="006B533B"/>
    <w:rsid w:val="006F47F2"/>
    <w:rsid w:val="00734936"/>
    <w:rsid w:val="00744315"/>
    <w:rsid w:val="007F2191"/>
    <w:rsid w:val="008E2255"/>
    <w:rsid w:val="00906ACA"/>
    <w:rsid w:val="00914F55"/>
    <w:rsid w:val="0094130B"/>
    <w:rsid w:val="009B50D5"/>
    <w:rsid w:val="009E3391"/>
    <w:rsid w:val="00A0518C"/>
    <w:rsid w:val="00A54AD9"/>
    <w:rsid w:val="00A713AA"/>
    <w:rsid w:val="00B86058"/>
    <w:rsid w:val="00B876D3"/>
    <w:rsid w:val="00BD1E9F"/>
    <w:rsid w:val="00C801E5"/>
    <w:rsid w:val="00D34C30"/>
    <w:rsid w:val="00D612B2"/>
    <w:rsid w:val="00DB276E"/>
    <w:rsid w:val="00DE7BEF"/>
    <w:rsid w:val="00E17F58"/>
    <w:rsid w:val="00EA1E02"/>
    <w:rsid w:val="00F15BBA"/>
    <w:rsid w:val="00F31E47"/>
    <w:rsid w:val="00F52116"/>
    <w:rsid w:val="00F72C34"/>
    <w:rsid w:val="00FB0366"/>
    <w:rsid w:val="00FF2A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10224-F19F-40AC-B722-1A45D6C9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02CC"/>
    <w:pPr>
      <w:ind w:left="720"/>
      <w:contextualSpacing/>
    </w:pPr>
  </w:style>
  <w:style w:type="paragraph" w:styleId="Ballontekst">
    <w:name w:val="Balloon Text"/>
    <w:basedOn w:val="Standaard"/>
    <w:link w:val="BallontekstChar"/>
    <w:uiPriority w:val="99"/>
    <w:semiHidden/>
    <w:unhideWhenUsed/>
    <w:rsid w:val="007F21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2191"/>
    <w:rPr>
      <w:rFonts w:ascii="Tahoma" w:hAnsi="Tahoma" w:cs="Tahoma"/>
      <w:sz w:val="16"/>
      <w:szCs w:val="16"/>
    </w:rPr>
  </w:style>
  <w:style w:type="character" w:styleId="Verwijzingopmerking">
    <w:name w:val="annotation reference"/>
    <w:basedOn w:val="Standaardalinea-lettertype"/>
    <w:uiPriority w:val="99"/>
    <w:semiHidden/>
    <w:unhideWhenUsed/>
    <w:rsid w:val="001A2549"/>
    <w:rPr>
      <w:sz w:val="16"/>
      <w:szCs w:val="16"/>
    </w:rPr>
  </w:style>
  <w:style w:type="paragraph" w:styleId="Tekstopmerking">
    <w:name w:val="annotation text"/>
    <w:basedOn w:val="Standaard"/>
    <w:link w:val="TekstopmerkingChar"/>
    <w:uiPriority w:val="99"/>
    <w:semiHidden/>
    <w:unhideWhenUsed/>
    <w:rsid w:val="001A254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A2549"/>
    <w:rPr>
      <w:sz w:val="20"/>
      <w:szCs w:val="20"/>
    </w:rPr>
  </w:style>
  <w:style w:type="paragraph" w:styleId="Onderwerpvanopmerking">
    <w:name w:val="annotation subject"/>
    <w:basedOn w:val="Tekstopmerking"/>
    <w:next w:val="Tekstopmerking"/>
    <w:link w:val="OnderwerpvanopmerkingChar"/>
    <w:uiPriority w:val="99"/>
    <w:semiHidden/>
    <w:unhideWhenUsed/>
    <w:rsid w:val="001A2549"/>
    <w:rPr>
      <w:b/>
      <w:bCs/>
    </w:rPr>
  </w:style>
  <w:style w:type="character" w:customStyle="1" w:styleId="OnderwerpvanopmerkingChar">
    <w:name w:val="Onderwerp van opmerking Char"/>
    <w:basedOn w:val="TekstopmerkingChar"/>
    <w:link w:val="Onderwerpvanopmerking"/>
    <w:uiPriority w:val="99"/>
    <w:semiHidden/>
    <w:rsid w:val="001A2549"/>
    <w:rPr>
      <w:b/>
      <w:bCs/>
      <w:sz w:val="20"/>
      <w:szCs w:val="20"/>
    </w:rPr>
  </w:style>
  <w:style w:type="paragraph" w:styleId="Koptekst">
    <w:name w:val="header"/>
    <w:basedOn w:val="Standaard"/>
    <w:link w:val="KoptekstChar"/>
    <w:uiPriority w:val="99"/>
    <w:unhideWhenUsed/>
    <w:rsid w:val="00EA1E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1E02"/>
  </w:style>
  <w:style w:type="paragraph" w:styleId="Voettekst">
    <w:name w:val="footer"/>
    <w:basedOn w:val="Standaard"/>
    <w:link w:val="VoettekstChar"/>
    <w:uiPriority w:val="99"/>
    <w:unhideWhenUsed/>
    <w:rsid w:val="00EA1E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1E02"/>
  </w:style>
  <w:style w:type="table" w:styleId="Tabelraster">
    <w:name w:val="Table Grid"/>
    <w:basedOn w:val="Standaardtabel"/>
    <w:uiPriority w:val="59"/>
    <w:rsid w:val="00213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70526">
      <w:bodyDiv w:val="1"/>
      <w:marLeft w:val="0"/>
      <w:marRight w:val="0"/>
      <w:marTop w:val="0"/>
      <w:marBottom w:val="0"/>
      <w:divBdr>
        <w:top w:val="none" w:sz="0" w:space="0" w:color="auto"/>
        <w:left w:val="none" w:sz="0" w:space="0" w:color="auto"/>
        <w:bottom w:val="none" w:sz="0" w:space="0" w:color="auto"/>
        <w:right w:val="none" w:sz="0" w:space="0" w:color="auto"/>
      </w:divBdr>
    </w:div>
    <w:div w:id="523786913">
      <w:bodyDiv w:val="1"/>
      <w:marLeft w:val="0"/>
      <w:marRight w:val="0"/>
      <w:marTop w:val="0"/>
      <w:marBottom w:val="0"/>
      <w:divBdr>
        <w:top w:val="none" w:sz="0" w:space="0" w:color="auto"/>
        <w:left w:val="none" w:sz="0" w:space="0" w:color="auto"/>
        <w:bottom w:val="none" w:sz="0" w:space="0" w:color="auto"/>
        <w:right w:val="none" w:sz="0" w:space="0" w:color="auto"/>
      </w:divBdr>
    </w:div>
    <w:div w:id="536356010">
      <w:bodyDiv w:val="1"/>
      <w:marLeft w:val="0"/>
      <w:marRight w:val="0"/>
      <w:marTop w:val="0"/>
      <w:marBottom w:val="0"/>
      <w:divBdr>
        <w:top w:val="none" w:sz="0" w:space="0" w:color="auto"/>
        <w:left w:val="none" w:sz="0" w:space="0" w:color="auto"/>
        <w:bottom w:val="none" w:sz="0" w:space="0" w:color="auto"/>
        <w:right w:val="none" w:sz="0" w:space="0" w:color="auto"/>
      </w:divBdr>
    </w:div>
    <w:div w:id="797143720">
      <w:bodyDiv w:val="1"/>
      <w:marLeft w:val="0"/>
      <w:marRight w:val="0"/>
      <w:marTop w:val="0"/>
      <w:marBottom w:val="0"/>
      <w:divBdr>
        <w:top w:val="none" w:sz="0" w:space="0" w:color="auto"/>
        <w:left w:val="none" w:sz="0" w:space="0" w:color="auto"/>
        <w:bottom w:val="none" w:sz="0" w:space="0" w:color="auto"/>
        <w:right w:val="none" w:sz="0" w:space="0" w:color="auto"/>
      </w:divBdr>
      <w:divsChild>
        <w:div w:id="1775595169">
          <w:marLeft w:val="446"/>
          <w:marRight w:val="0"/>
          <w:marTop w:val="0"/>
          <w:marBottom w:val="0"/>
          <w:divBdr>
            <w:top w:val="none" w:sz="0" w:space="0" w:color="auto"/>
            <w:left w:val="none" w:sz="0" w:space="0" w:color="auto"/>
            <w:bottom w:val="none" w:sz="0" w:space="0" w:color="auto"/>
            <w:right w:val="none" w:sz="0" w:space="0" w:color="auto"/>
          </w:divBdr>
        </w:div>
        <w:div w:id="1632443611">
          <w:marLeft w:val="446"/>
          <w:marRight w:val="0"/>
          <w:marTop w:val="0"/>
          <w:marBottom w:val="0"/>
          <w:divBdr>
            <w:top w:val="none" w:sz="0" w:space="0" w:color="auto"/>
            <w:left w:val="none" w:sz="0" w:space="0" w:color="auto"/>
            <w:bottom w:val="none" w:sz="0" w:space="0" w:color="auto"/>
            <w:right w:val="none" w:sz="0" w:space="0" w:color="auto"/>
          </w:divBdr>
        </w:div>
        <w:div w:id="877402079">
          <w:marLeft w:val="446"/>
          <w:marRight w:val="0"/>
          <w:marTop w:val="0"/>
          <w:marBottom w:val="0"/>
          <w:divBdr>
            <w:top w:val="none" w:sz="0" w:space="0" w:color="auto"/>
            <w:left w:val="none" w:sz="0" w:space="0" w:color="auto"/>
            <w:bottom w:val="none" w:sz="0" w:space="0" w:color="auto"/>
            <w:right w:val="none" w:sz="0" w:space="0" w:color="auto"/>
          </w:divBdr>
        </w:div>
        <w:div w:id="466357864">
          <w:marLeft w:val="446"/>
          <w:marRight w:val="0"/>
          <w:marTop w:val="0"/>
          <w:marBottom w:val="0"/>
          <w:divBdr>
            <w:top w:val="none" w:sz="0" w:space="0" w:color="auto"/>
            <w:left w:val="none" w:sz="0" w:space="0" w:color="auto"/>
            <w:bottom w:val="none" w:sz="0" w:space="0" w:color="auto"/>
            <w:right w:val="none" w:sz="0" w:space="0" w:color="auto"/>
          </w:divBdr>
        </w:div>
      </w:divsChild>
    </w:div>
    <w:div w:id="1686131287">
      <w:bodyDiv w:val="1"/>
      <w:marLeft w:val="0"/>
      <w:marRight w:val="0"/>
      <w:marTop w:val="0"/>
      <w:marBottom w:val="0"/>
      <w:divBdr>
        <w:top w:val="none" w:sz="0" w:space="0" w:color="auto"/>
        <w:left w:val="none" w:sz="0" w:space="0" w:color="auto"/>
        <w:bottom w:val="none" w:sz="0" w:space="0" w:color="auto"/>
        <w:right w:val="none" w:sz="0" w:space="0" w:color="auto"/>
      </w:divBdr>
      <w:divsChild>
        <w:div w:id="616762219">
          <w:marLeft w:val="446"/>
          <w:marRight w:val="0"/>
          <w:marTop w:val="0"/>
          <w:marBottom w:val="0"/>
          <w:divBdr>
            <w:top w:val="none" w:sz="0" w:space="0" w:color="auto"/>
            <w:left w:val="none" w:sz="0" w:space="0" w:color="auto"/>
            <w:bottom w:val="none" w:sz="0" w:space="0" w:color="auto"/>
            <w:right w:val="none" w:sz="0" w:space="0" w:color="auto"/>
          </w:divBdr>
        </w:div>
        <w:div w:id="190462079">
          <w:marLeft w:val="446"/>
          <w:marRight w:val="0"/>
          <w:marTop w:val="0"/>
          <w:marBottom w:val="0"/>
          <w:divBdr>
            <w:top w:val="none" w:sz="0" w:space="0" w:color="auto"/>
            <w:left w:val="none" w:sz="0" w:space="0" w:color="auto"/>
            <w:bottom w:val="none" w:sz="0" w:space="0" w:color="auto"/>
            <w:right w:val="none" w:sz="0" w:space="0" w:color="auto"/>
          </w:divBdr>
        </w:div>
        <w:div w:id="1532231869">
          <w:marLeft w:val="446"/>
          <w:marRight w:val="0"/>
          <w:marTop w:val="0"/>
          <w:marBottom w:val="0"/>
          <w:divBdr>
            <w:top w:val="none" w:sz="0" w:space="0" w:color="auto"/>
            <w:left w:val="none" w:sz="0" w:space="0" w:color="auto"/>
            <w:bottom w:val="none" w:sz="0" w:space="0" w:color="auto"/>
            <w:right w:val="none" w:sz="0" w:space="0" w:color="auto"/>
          </w:divBdr>
        </w:div>
      </w:divsChild>
    </w:div>
    <w:div w:id="182932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60AC9-ED82-4197-A41D-2D981119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4264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Gent</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Engels Sacha</dc:creator>
  <cp:lastModifiedBy>D’Hose, Stephanie</cp:lastModifiedBy>
  <cp:revision>2</cp:revision>
  <cp:lastPrinted>2016-11-18T10:03:00Z</cp:lastPrinted>
  <dcterms:created xsi:type="dcterms:W3CDTF">2016-12-06T08:33:00Z</dcterms:created>
  <dcterms:modified xsi:type="dcterms:W3CDTF">2016-12-06T08:33:00Z</dcterms:modified>
</cp:coreProperties>
</file>